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70F3F" w14:textId="0ABB3826" w:rsidR="008622C2" w:rsidRPr="00B266B0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#113bis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9E016E">
        <w:rPr>
          <w:bCs/>
          <w:noProof w:val="0"/>
          <w:sz w:val="24"/>
          <w:szCs w:val="24"/>
        </w:rPr>
        <w:t>3305</w:t>
      </w:r>
    </w:p>
    <w:p w14:paraId="5E30B99A" w14:textId="7EC72F60" w:rsidR="008622C2" w:rsidRPr="00465587" w:rsidRDefault="008622C2" w:rsidP="008622C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Pr="006E1057">
        <w:rPr>
          <w:rFonts w:eastAsia="SimSun"/>
          <w:bCs/>
          <w:sz w:val="24"/>
          <w:szCs w:val="24"/>
          <w:lang w:eastAsia="zh-CN"/>
        </w:rPr>
        <w:t>12 – 20 April 2021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B74B35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D31CD">
        <w:rPr>
          <w:rFonts w:cs="Arial"/>
          <w:b/>
          <w:bCs/>
          <w:sz w:val="24"/>
          <w:lang w:eastAsia="ja-JP"/>
        </w:rPr>
        <w:t>8.15</w:t>
      </w:r>
      <w:r>
        <w:rPr>
          <w:rFonts w:cs="Arial"/>
          <w:b/>
          <w:bCs/>
          <w:sz w:val="24"/>
          <w:lang w:eastAsia="ja-JP"/>
        </w:rPr>
        <w:t>.</w:t>
      </w:r>
      <w:r w:rsidR="001B213E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274098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0C89">
        <w:rPr>
          <w:rFonts w:ascii="Arial" w:hAnsi="Arial" w:cs="Arial"/>
          <w:b/>
          <w:bCs/>
          <w:sz w:val="24"/>
        </w:rPr>
        <w:t>On the deciding entity of DRX configuration</w:t>
      </w:r>
    </w:p>
    <w:p w14:paraId="1F147C23" w14:textId="3B2C351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919BC" w:rsidRPr="00E912FD">
        <w:rPr>
          <w:rFonts w:ascii="Arial" w:hAnsi="Arial" w:cs="Arial"/>
          <w:b/>
          <w:bCs/>
          <w:sz w:val="24"/>
        </w:rPr>
        <w:t>NR_SL_enh</w:t>
      </w:r>
      <w:proofErr w:type="spellEnd"/>
      <w:r w:rsidR="006919BC" w:rsidRPr="00E912FD">
        <w:rPr>
          <w:rFonts w:ascii="Arial" w:hAnsi="Arial" w:cs="Arial"/>
          <w:b/>
          <w:bCs/>
          <w:sz w:val="24"/>
        </w:rPr>
        <w:t>-Core</w:t>
      </w:r>
      <w:r w:rsidR="006919BC" w:rsidRPr="00112F1A">
        <w:rPr>
          <w:rFonts w:ascii="Arial" w:hAnsi="Arial" w:cs="Arial"/>
          <w:b/>
          <w:bCs/>
          <w:sz w:val="24"/>
        </w:rPr>
        <w:t xml:space="preserve"> </w:t>
      </w:r>
      <w:r w:rsidR="006919BC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CC38C17" w:rsidR="007F2E08" w:rsidRDefault="009318FC" w:rsidP="00A209D6">
      <w:r>
        <w:t xml:space="preserve">During RAN2#113 </w:t>
      </w:r>
      <w:r w:rsidR="00FF3CFB">
        <w:t xml:space="preserve">it was discussed in the </w:t>
      </w:r>
      <w:proofErr w:type="spellStart"/>
      <w:r w:rsidR="00FF3CFB">
        <w:t>sidelink</w:t>
      </w:r>
      <w:proofErr w:type="spellEnd"/>
      <w:r w:rsidR="00FF3CFB">
        <w:t xml:space="preserve"> Enhancement WID on whether to support Tx</w:t>
      </w:r>
      <w:r w:rsidR="0051597C">
        <w:t>-</w:t>
      </w:r>
      <w:r w:rsidR="00FF3CFB">
        <w:t xml:space="preserve"> or Rx</w:t>
      </w:r>
      <w:r w:rsidR="0051597C">
        <w:t>-centric approach to determine the DRX configuration for the direction.</w:t>
      </w:r>
      <w:r w:rsidR="004D1A78">
        <w:t xml:space="preserve"> </w:t>
      </w:r>
      <w:r w:rsidR="00BB5D8F">
        <w:t xml:space="preserve">In the summary of </w:t>
      </w:r>
      <w:r w:rsidR="006D0A3C" w:rsidRPr="006D0A3C">
        <w:rPr>
          <w:i/>
          <w:iCs/>
        </w:rPr>
        <w:t>[Post113-e][704][SL] TX UE centric or RX UE centric DRX configuration determination</w:t>
      </w:r>
      <w:sdt>
        <w:sdtPr>
          <w:rPr>
            <w:i/>
            <w:iCs/>
          </w:rPr>
          <w:id w:val="2087101840"/>
          <w:citation/>
        </w:sdtPr>
        <w:sdtEndPr/>
        <w:sdtContent>
          <w:r w:rsidR="00A2622F">
            <w:rPr>
              <w:i/>
              <w:iCs/>
            </w:rPr>
            <w:fldChar w:fldCharType="begin"/>
          </w:r>
          <w:r w:rsidR="00A2622F" w:rsidRPr="00A2622F">
            <w:rPr>
              <w:i/>
              <w:iCs/>
              <w:lang w:val="en-US"/>
            </w:rPr>
            <w:instrText xml:space="preserve"> CITATION OPP21 \l 1030 </w:instrText>
          </w:r>
          <w:r w:rsidR="00A2622F">
            <w:rPr>
              <w:i/>
              <w:iCs/>
            </w:rPr>
            <w:fldChar w:fldCharType="separate"/>
          </w:r>
          <w:r w:rsidR="009A5A5A">
            <w:rPr>
              <w:i/>
              <w:iCs/>
              <w:noProof/>
              <w:lang w:val="en-US"/>
            </w:rPr>
            <w:t xml:space="preserve"> </w:t>
          </w:r>
          <w:r w:rsidR="009A5A5A" w:rsidRPr="009A5A5A">
            <w:rPr>
              <w:noProof/>
              <w:lang w:val="en-US"/>
            </w:rPr>
            <w:t>[1]</w:t>
          </w:r>
          <w:r w:rsidR="00A2622F">
            <w:rPr>
              <w:i/>
              <w:iCs/>
            </w:rPr>
            <w:fldChar w:fldCharType="end"/>
          </w:r>
        </w:sdtContent>
      </w:sdt>
      <w:r w:rsidR="006D0A3C">
        <w:t xml:space="preserve">, </w:t>
      </w:r>
      <w:r w:rsidR="00B249E3">
        <w:t xml:space="preserve">as to simplify the discussion, two different </w:t>
      </w:r>
      <w:r w:rsidR="007D7D60">
        <w:t>types of signalling were determined;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7A46" w14:paraId="08900DDF" w14:textId="77777777" w:rsidTr="003D7A46">
        <w:tc>
          <w:tcPr>
            <w:tcW w:w="9631" w:type="dxa"/>
          </w:tcPr>
          <w:p w14:paraId="23C89A7F" w14:textId="77777777" w:rsidR="003D7A46" w:rsidRDefault="003D7A46" w:rsidP="003D7A46">
            <w:pPr>
              <w:spacing w:beforeLines="50" w:before="120"/>
              <w:rPr>
                <w:b/>
                <w:lang w:eastAsia="zh-CN"/>
              </w:rPr>
            </w:pPr>
            <w:r>
              <w:rPr>
                <w:rFonts w:hint="eastAsia"/>
                <w:b/>
              </w:rPr>
              <w:t>Q1: For the direction of UE1 as Tx-UE and UE2 as Rx-UE, if define</w:t>
            </w:r>
          </w:p>
          <w:p w14:paraId="61DBB21B" w14:textId="77777777" w:rsidR="003D7A46" w:rsidRDefault="003D7A46" w:rsidP="003D7A46">
            <w:pPr>
              <w:pStyle w:val="ListParagraph"/>
              <w:numPr>
                <w:ilvl w:val="0"/>
                <w:numId w:val="8"/>
              </w:numPr>
              <w:spacing w:beforeLines="50" w:before="120"/>
              <w:ind w:left="1080"/>
              <w:rPr>
                <w:b/>
                <w:lang w:val="en-US"/>
              </w:rPr>
            </w:pPr>
            <w:r w:rsidRPr="007D7D60">
              <w:rPr>
                <w:rFonts w:hint="eastAsia"/>
                <w:b/>
                <w:highlight w:val="green"/>
                <w:lang w:val="en-US"/>
              </w:rPr>
              <w:t>Signaling-1</w:t>
            </w:r>
            <w:r w:rsidRPr="007D7D60">
              <w:rPr>
                <w:rFonts w:hint="eastAsia"/>
                <w:b/>
                <w:lang w:val="en-US"/>
              </w:rPr>
              <w:t xml:space="preserve">: As </w:t>
            </w:r>
            <w:proofErr w:type="spellStart"/>
            <w:r w:rsidRPr="007D7D60">
              <w:rPr>
                <w:rFonts w:hint="eastAsia"/>
                <w:b/>
                <w:lang w:val="en-US"/>
              </w:rPr>
              <w:t>signalling</w:t>
            </w:r>
            <w:proofErr w:type="spellEnd"/>
            <w:r w:rsidRPr="007D7D60">
              <w:rPr>
                <w:rFonts w:hint="eastAsia"/>
                <w:b/>
                <w:lang w:val="en-US"/>
              </w:rPr>
              <w:t xml:space="preserve"> from UE2 (RX-UE) to UE1 (TX-UE) including the DRX configuration;</w:t>
            </w:r>
          </w:p>
          <w:p w14:paraId="27F54CCD" w14:textId="6D7A3EDC" w:rsidR="003D7A46" w:rsidRPr="003D7A46" w:rsidRDefault="003D7A46" w:rsidP="00A209D6">
            <w:pPr>
              <w:pStyle w:val="ListParagraph"/>
              <w:numPr>
                <w:ilvl w:val="0"/>
                <w:numId w:val="8"/>
              </w:numPr>
              <w:spacing w:beforeLines="50" w:before="120"/>
              <w:ind w:left="1080"/>
              <w:rPr>
                <w:b/>
                <w:lang w:val="en-US"/>
              </w:rPr>
            </w:pPr>
            <w:r w:rsidRPr="007D7D60">
              <w:rPr>
                <w:rFonts w:hint="eastAsia"/>
                <w:b/>
                <w:highlight w:val="cyan"/>
                <w:lang w:val="en-US"/>
              </w:rPr>
              <w:t>Signaling-2</w:t>
            </w:r>
            <w:r w:rsidRPr="007D7D60">
              <w:rPr>
                <w:rFonts w:hint="eastAsia"/>
                <w:b/>
                <w:lang w:val="en-US"/>
              </w:rPr>
              <w:t xml:space="preserve">: As </w:t>
            </w:r>
            <w:proofErr w:type="spellStart"/>
            <w:r w:rsidRPr="007D7D60">
              <w:rPr>
                <w:rFonts w:hint="eastAsia"/>
                <w:b/>
                <w:lang w:val="en-US"/>
              </w:rPr>
              <w:t>signalling</w:t>
            </w:r>
            <w:proofErr w:type="spellEnd"/>
            <w:r w:rsidRPr="007D7D60">
              <w:rPr>
                <w:rFonts w:hint="eastAsia"/>
                <w:b/>
                <w:lang w:val="en-US"/>
              </w:rPr>
              <w:t xml:space="preserve"> from UE1 (TX-UE) to UE2 (RX-UE) including the DRX configuration;</w:t>
            </w:r>
          </w:p>
        </w:tc>
      </w:tr>
    </w:tbl>
    <w:p w14:paraId="5D2920C4" w14:textId="77777777" w:rsidR="0017258E" w:rsidRDefault="0017258E" w:rsidP="00A209D6"/>
    <w:p w14:paraId="78F0C43E" w14:textId="4FF51EEF" w:rsidR="00C40595" w:rsidRDefault="009A34EE" w:rsidP="003D7A46">
      <w:r>
        <w:t xml:space="preserve">During the email discussions on this topic, </w:t>
      </w:r>
      <w:r w:rsidR="00AB0E74">
        <w:t>a</w:t>
      </w:r>
      <w:r>
        <w:t xml:space="preserve"> majority supports top utilise both the </w:t>
      </w:r>
      <w:r w:rsidR="00D42FFC">
        <w:t>above-mentioned</w:t>
      </w:r>
      <w:r>
        <w:t xml:space="preserve"> Signalling-1, and Signalling-2, although the </w:t>
      </w:r>
      <w:r w:rsidR="00D42FFC">
        <w:t>details of either of these varies significantly. This paper provides further inputs to the benefits and drawbacks of utilising Signalling-1, and Signalling-2 in different ways.</w:t>
      </w:r>
    </w:p>
    <w:p w14:paraId="4F547731" w14:textId="36CED9EC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D42FFC">
        <w:t>Tx- or Rx-Centric approach</w:t>
      </w:r>
    </w:p>
    <w:p w14:paraId="5AC7826F" w14:textId="4D933B13" w:rsidR="00790A18" w:rsidRDefault="00E744F4" w:rsidP="00121224">
      <w:r>
        <w:t>From the email discussion ongoing in RAN</w:t>
      </w:r>
      <w:r w:rsidR="0081509E">
        <w:t>2</w:t>
      </w:r>
      <w:sdt>
        <w:sdtPr>
          <w:id w:val="826868116"/>
          <w:citation/>
        </w:sdtPr>
        <w:sdtEndPr/>
        <w:sdtContent>
          <w:r w:rsidR="0081509E">
            <w:fldChar w:fldCharType="begin"/>
          </w:r>
          <w:r w:rsidR="0081509E" w:rsidRPr="0081509E">
            <w:rPr>
              <w:lang w:val="en-US"/>
            </w:rPr>
            <w:instrText xml:space="preserve"> CITATION OPP21 \l 1030 </w:instrText>
          </w:r>
          <w:r w:rsidR="0081509E">
            <w:fldChar w:fldCharType="separate"/>
          </w:r>
          <w:r w:rsidR="009A5A5A">
            <w:rPr>
              <w:noProof/>
              <w:lang w:val="en-US"/>
            </w:rPr>
            <w:t xml:space="preserve"> </w:t>
          </w:r>
          <w:r w:rsidR="009A5A5A" w:rsidRPr="009A5A5A">
            <w:rPr>
              <w:noProof/>
              <w:lang w:val="en-US"/>
            </w:rPr>
            <w:t>[1]</w:t>
          </w:r>
          <w:r w:rsidR="0081509E">
            <w:fldChar w:fldCharType="end"/>
          </w:r>
        </w:sdtContent>
      </w:sdt>
      <w:r w:rsidR="0081509E">
        <w:t xml:space="preserve"> it was clear that</w:t>
      </w:r>
      <w:r w:rsidR="00444221">
        <w:t xml:space="preserve"> there were different views on the operation, and meaning of Tx- and Rx-centric operation.</w:t>
      </w:r>
      <w:r w:rsidR="009C2B8E">
        <w:t xml:space="preserve"> Below, we clarif</w:t>
      </w:r>
      <w:r w:rsidR="009E3010">
        <w:t>y</w:t>
      </w:r>
      <w:r w:rsidR="009C2B8E">
        <w:t xml:space="preserve"> our simplified understanding of the overall discussion</w:t>
      </w:r>
      <w:r w:rsidR="00790A18">
        <w:t xml:space="preserve"> as to be able to discuss further on the decision on the DRX configuration deciding entity.</w:t>
      </w:r>
    </w:p>
    <w:p w14:paraId="31F69CEC" w14:textId="246E7B75" w:rsidR="00121224" w:rsidRDefault="00BA3899" w:rsidP="00121224">
      <w:r>
        <w:t>In our understanding</w:t>
      </w:r>
      <w:r w:rsidR="00121224">
        <w:t xml:space="preserve"> there may be up to four steps within the decision making of the DRX configuration, each with its own possible purposes as seen in Figure 1</w:t>
      </w:r>
      <w:r w:rsidR="005A265B">
        <w:t>, and further described in Table 1</w:t>
      </w:r>
      <w:r w:rsidR="00121224">
        <w:t>. Note that since which messages will carry what type of information is still under discussion in the afore-mentioned email discussion, we here use a simple denotation of the messages.</w:t>
      </w:r>
      <w:r w:rsidR="00B10D3B">
        <w:t xml:space="preserve"> The steps displayed in table-1 can also be reversed i.e. UE1 is the Rx and UE2 is the Tx</w:t>
      </w:r>
      <w:r w:rsidR="00B740A3">
        <w:t>, with the advantages also flipped in such case.</w:t>
      </w:r>
    </w:p>
    <w:p w14:paraId="1C017137" w14:textId="77777777" w:rsidR="008A18C4" w:rsidRDefault="00121224" w:rsidP="008A18C4">
      <w:pPr>
        <w:keepNext/>
        <w:jc w:val="center"/>
      </w:pPr>
      <w:r>
        <w:object w:dxaOrig="4850" w:dyaOrig="2950" w14:anchorId="0F510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47.6pt" o:ole="">
            <v:imagedata r:id="rId13" o:title=""/>
          </v:shape>
          <o:OLEObject Type="Embed" ProgID="Mscgen.Chart" ShapeID="_x0000_i1025" DrawAspect="Content" ObjectID="_1678805304" r:id="rId14"/>
        </w:object>
      </w:r>
    </w:p>
    <w:p w14:paraId="5CEEC813" w14:textId="39056D8C" w:rsidR="00121224" w:rsidRDefault="008A18C4" w:rsidP="008A18C4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Steps of the DRX configuration</w:t>
      </w:r>
    </w:p>
    <w:p w14:paraId="4987DA5F" w14:textId="6F85FFB4" w:rsidR="009679A0" w:rsidRDefault="009679A0" w:rsidP="009679A0">
      <w:pPr>
        <w:pStyle w:val="Caption"/>
        <w:keepNext/>
      </w:pPr>
      <w:r>
        <w:lastRenderedPageBreak/>
        <w:t xml:space="preserve">Table </w:t>
      </w:r>
      <w:r w:rsidR="00851415">
        <w:fldChar w:fldCharType="begin"/>
      </w:r>
      <w:r w:rsidR="00851415">
        <w:instrText xml:space="preserve"> SEQ Table \* ARABIC </w:instrText>
      </w:r>
      <w:r w:rsidR="00851415">
        <w:fldChar w:fldCharType="separate"/>
      </w:r>
      <w:r>
        <w:rPr>
          <w:noProof/>
        </w:rPr>
        <w:t>1</w:t>
      </w:r>
      <w:r w:rsidR="00851415">
        <w:rPr>
          <w:noProof/>
        </w:rPr>
        <w:fldChar w:fldCharType="end"/>
      </w:r>
      <w:r>
        <w:t xml:space="preserve"> Brief description of the cases in Figure 1</w:t>
      </w:r>
    </w:p>
    <w:tbl>
      <w:tblPr>
        <w:tblStyle w:val="TableGrid"/>
        <w:tblpPr w:leftFromText="141" w:rightFromText="141" w:vertAnchor="text" w:tblpY="1"/>
        <w:tblOverlap w:val="never"/>
        <w:tblW w:w="9410" w:type="dxa"/>
        <w:tblLook w:val="04A0" w:firstRow="1" w:lastRow="0" w:firstColumn="1" w:lastColumn="0" w:noHBand="0" w:noVBand="1"/>
      </w:tblPr>
      <w:tblGrid>
        <w:gridCol w:w="793"/>
        <w:gridCol w:w="1161"/>
        <w:gridCol w:w="1250"/>
        <w:gridCol w:w="1250"/>
        <w:gridCol w:w="1353"/>
        <w:gridCol w:w="3603"/>
      </w:tblGrid>
      <w:tr w:rsidR="00B86DB9" w14:paraId="4DE6EFB2" w14:textId="77777777" w:rsidTr="00B86DB9">
        <w:tc>
          <w:tcPr>
            <w:tcW w:w="793" w:type="dxa"/>
          </w:tcPr>
          <w:p w14:paraId="00BABD02" w14:textId="3751F07E" w:rsidR="003003B9" w:rsidRDefault="00A77618" w:rsidP="00B86DB9">
            <w:r>
              <w:t>Case</w:t>
            </w:r>
          </w:p>
        </w:tc>
        <w:tc>
          <w:tcPr>
            <w:tcW w:w="1161" w:type="dxa"/>
          </w:tcPr>
          <w:p w14:paraId="16F19C18" w14:textId="341A2D4B" w:rsidR="003003B9" w:rsidRDefault="003003B9" w:rsidP="00B86DB9">
            <w:r>
              <w:t>Step 1</w:t>
            </w:r>
          </w:p>
        </w:tc>
        <w:tc>
          <w:tcPr>
            <w:tcW w:w="1250" w:type="dxa"/>
          </w:tcPr>
          <w:p w14:paraId="4DFDF832" w14:textId="6B48667E" w:rsidR="003003B9" w:rsidRDefault="003003B9" w:rsidP="00B86DB9">
            <w:r>
              <w:t>Step 2</w:t>
            </w:r>
          </w:p>
        </w:tc>
        <w:tc>
          <w:tcPr>
            <w:tcW w:w="1250" w:type="dxa"/>
          </w:tcPr>
          <w:p w14:paraId="23277357" w14:textId="5390DE38" w:rsidR="003003B9" w:rsidRDefault="003003B9" w:rsidP="00B86DB9">
            <w:r>
              <w:t>Step 3</w:t>
            </w:r>
          </w:p>
        </w:tc>
        <w:tc>
          <w:tcPr>
            <w:tcW w:w="1353" w:type="dxa"/>
          </w:tcPr>
          <w:p w14:paraId="3B80923E" w14:textId="77A9DA4A" w:rsidR="003003B9" w:rsidRDefault="003003B9" w:rsidP="00B86DB9">
            <w:r>
              <w:t>Step 4</w:t>
            </w:r>
          </w:p>
        </w:tc>
        <w:tc>
          <w:tcPr>
            <w:tcW w:w="3603" w:type="dxa"/>
          </w:tcPr>
          <w:p w14:paraId="4E7732DC" w14:textId="05596D7A" w:rsidR="003003B9" w:rsidRDefault="003003B9" w:rsidP="00B86DB9">
            <w:r>
              <w:t>Comments</w:t>
            </w:r>
          </w:p>
        </w:tc>
      </w:tr>
      <w:tr w:rsidR="00B86DB9" w14:paraId="744210F5" w14:textId="77777777" w:rsidTr="00B86DB9">
        <w:tc>
          <w:tcPr>
            <w:tcW w:w="793" w:type="dxa"/>
          </w:tcPr>
          <w:p w14:paraId="3C719D9B" w14:textId="25916A23" w:rsidR="003003B9" w:rsidRDefault="003003B9" w:rsidP="00B86DB9">
            <w:r>
              <w:t>1</w:t>
            </w:r>
          </w:p>
        </w:tc>
        <w:tc>
          <w:tcPr>
            <w:tcW w:w="1161" w:type="dxa"/>
          </w:tcPr>
          <w:p w14:paraId="6DB81A73" w14:textId="5B0F4E1B" w:rsidR="003003B9" w:rsidRDefault="003003B9" w:rsidP="00B86DB9">
            <w:r>
              <w:t>Decision</w:t>
            </w:r>
          </w:p>
        </w:tc>
        <w:tc>
          <w:tcPr>
            <w:tcW w:w="1250" w:type="dxa"/>
          </w:tcPr>
          <w:p w14:paraId="636133F0" w14:textId="77777777" w:rsidR="00B86DB9" w:rsidRDefault="003003B9" w:rsidP="00B86DB9">
            <w:pPr>
              <w:rPr>
                <w:i/>
                <w:iCs/>
              </w:rPr>
            </w:pPr>
            <w:r w:rsidRPr="003003B9">
              <w:rPr>
                <w:i/>
                <w:iCs/>
              </w:rPr>
              <w:t>None</w:t>
            </w:r>
            <w:r w:rsidR="00ED5B83">
              <w:rPr>
                <w:i/>
                <w:iCs/>
              </w:rPr>
              <w:t>/</w:t>
            </w:r>
          </w:p>
          <w:p w14:paraId="4ADB9122" w14:textId="661C366F" w:rsidR="003003B9" w:rsidRPr="003003B9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1250" w:type="dxa"/>
          </w:tcPr>
          <w:p w14:paraId="645B99CB" w14:textId="721AACB9" w:rsidR="003003B9" w:rsidRPr="003003B9" w:rsidRDefault="003003B9" w:rsidP="00B86DB9">
            <w:pPr>
              <w:rPr>
                <w:i/>
                <w:iCs/>
              </w:rPr>
            </w:pPr>
            <w:r w:rsidRPr="003003B9">
              <w:rPr>
                <w:i/>
                <w:iCs/>
              </w:rPr>
              <w:t>None</w:t>
            </w:r>
          </w:p>
        </w:tc>
        <w:tc>
          <w:tcPr>
            <w:tcW w:w="1353" w:type="dxa"/>
          </w:tcPr>
          <w:p w14:paraId="2927F5C9" w14:textId="7439E844" w:rsidR="003003B9" w:rsidRPr="003003B9" w:rsidRDefault="003003B9" w:rsidP="00B86DB9">
            <w:pPr>
              <w:rPr>
                <w:i/>
                <w:iCs/>
              </w:rPr>
            </w:pPr>
            <w:r w:rsidRPr="003003B9">
              <w:rPr>
                <w:i/>
                <w:iCs/>
              </w:rPr>
              <w:t>None</w:t>
            </w:r>
          </w:p>
        </w:tc>
        <w:tc>
          <w:tcPr>
            <w:tcW w:w="3603" w:type="dxa"/>
          </w:tcPr>
          <w:p w14:paraId="781298F0" w14:textId="77777777" w:rsidR="003003B9" w:rsidRDefault="003003B9" w:rsidP="00B86DB9">
            <w:r>
              <w:t xml:space="preserve">Simplest configuration </w:t>
            </w:r>
            <w:r w:rsidR="00A3152E">
              <w:t>methodology</w:t>
            </w:r>
            <w:r w:rsidR="00870CDA">
              <w:t xml:space="preserve"> where the </w:t>
            </w:r>
            <w:r w:rsidR="00A3152E">
              <w:t>transmitting UE decides on the full DRX configuration i.e. in RRC setup</w:t>
            </w:r>
          </w:p>
          <w:p w14:paraId="1DED4682" w14:textId="0E3E0F58" w:rsidR="00A3152E" w:rsidRDefault="00A3152E" w:rsidP="00B86DB9">
            <w:r w:rsidRPr="004B75DF">
              <w:rPr>
                <w:color w:val="70AD47" w:themeColor="accent6"/>
              </w:rPr>
              <w:t>Pro:</w:t>
            </w:r>
            <w:r>
              <w:t xml:space="preserve"> Very simple </w:t>
            </w:r>
            <w:r w:rsidR="00F679EF">
              <w:t>flow w</w:t>
            </w:r>
            <w:r w:rsidR="004B75DF">
              <w:t xml:space="preserve">here transmitting UE </w:t>
            </w:r>
            <w:r w:rsidR="003D4C08">
              <w:t>can</w:t>
            </w:r>
            <w:r w:rsidR="004B75DF">
              <w:t xml:space="preserve"> optimise on its own behalf.</w:t>
            </w:r>
            <w:r w:rsidR="003D4C08">
              <w:t xml:space="preserve"> Very </w:t>
            </w:r>
            <w:proofErr w:type="spellStart"/>
            <w:r w:rsidR="003D4C08">
              <w:t>Uu</w:t>
            </w:r>
            <w:proofErr w:type="spellEnd"/>
            <w:r w:rsidR="003D4C08">
              <w:t xml:space="preserve"> like behaviour.</w:t>
            </w:r>
          </w:p>
          <w:p w14:paraId="7D0CEF37" w14:textId="49ECD4F8" w:rsidR="004B75DF" w:rsidRDefault="004B75DF" w:rsidP="00B86DB9">
            <w:r w:rsidRPr="004B75DF">
              <w:rPr>
                <w:color w:val="FF0000"/>
              </w:rPr>
              <w:t>Con</w:t>
            </w:r>
            <w:r w:rsidR="00A77618">
              <w:rPr>
                <w:color w:val="FF0000"/>
              </w:rPr>
              <w:t>s</w:t>
            </w:r>
            <w:r w:rsidRPr="004B75DF">
              <w:rPr>
                <w:color w:val="FF0000"/>
              </w:rPr>
              <w:t>;</w:t>
            </w:r>
            <w:r>
              <w:t xml:space="preserve"> </w:t>
            </w:r>
            <w:r w:rsidR="003D4C08">
              <w:t>N</w:t>
            </w:r>
            <w:r>
              <w:t>o means for the Rx UE to ensure optimum power saving a</w:t>
            </w:r>
            <w:r w:rsidR="00A62B19">
              <w:t>ccording to its own links towards other UEs</w:t>
            </w:r>
            <w:r w:rsidR="003D4C08">
              <w:t>.</w:t>
            </w:r>
            <w:r w:rsidR="00B36604">
              <w:t xml:space="preserve"> Tx UE has no information on the power saving state of the Rx UE.</w:t>
            </w:r>
          </w:p>
        </w:tc>
      </w:tr>
      <w:tr w:rsidR="00A62B19" w14:paraId="3A20A04C" w14:textId="77777777" w:rsidTr="00B86DB9">
        <w:tc>
          <w:tcPr>
            <w:tcW w:w="793" w:type="dxa"/>
          </w:tcPr>
          <w:p w14:paraId="047AAD6C" w14:textId="10B256B5" w:rsidR="00A62B19" w:rsidRDefault="00A62B19" w:rsidP="00B86DB9">
            <w:r>
              <w:t>2</w:t>
            </w:r>
          </w:p>
        </w:tc>
        <w:tc>
          <w:tcPr>
            <w:tcW w:w="1161" w:type="dxa"/>
          </w:tcPr>
          <w:p w14:paraId="715BBCD5" w14:textId="788D7A3C" w:rsidR="00A62B19" w:rsidRDefault="00B36604" w:rsidP="00B86DB9">
            <w:r>
              <w:t>(</w:t>
            </w:r>
            <w:r w:rsidR="00D41192">
              <w:t>Request</w:t>
            </w:r>
            <w:r>
              <w:t>)</w:t>
            </w:r>
          </w:p>
        </w:tc>
        <w:tc>
          <w:tcPr>
            <w:tcW w:w="1250" w:type="dxa"/>
          </w:tcPr>
          <w:p w14:paraId="676824D9" w14:textId="04721CC3" w:rsidR="00A62B19" w:rsidRPr="00133D4B" w:rsidRDefault="00133D4B" w:rsidP="00B86DB9">
            <w:r w:rsidRPr="00133D4B">
              <w:t>De</w:t>
            </w:r>
            <w:r>
              <w:t>cision</w:t>
            </w:r>
          </w:p>
        </w:tc>
        <w:tc>
          <w:tcPr>
            <w:tcW w:w="1250" w:type="dxa"/>
          </w:tcPr>
          <w:p w14:paraId="0682F7ED" w14:textId="77777777" w:rsidR="00B86DB9" w:rsidRDefault="00133D4B" w:rsidP="00B86DB9">
            <w:pPr>
              <w:rPr>
                <w:i/>
                <w:iCs/>
              </w:rPr>
            </w:pPr>
            <w:r w:rsidRPr="00133D4B">
              <w:rPr>
                <w:i/>
                <w:iCs/>
              </w:rPr>
              <w:t>None</w:t>
            </w:r>
            <w:r w:rsidR="00ED5B83">
              <w:rPr>
                <w:i/>
                <w:iCs/>
              </w:rPr>
              <w:t>/</w:t>
            </w:r>
          </w:p>
          <w:p w14:paraId="215A8136" w14:textId="1AAD542D" w:rsidR="00A62B19" w:rsidRPr="00133D4B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1353" w:type="dxa"/>
          </w:tcPr>
          <w:p w14:paraId="281BA912" w14:textId="67F7E7ED" w:rsidR="00A62B19" w:rsidRPr="003003B9" w:rsidRDefault="00133D4B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</w:t>
            </w:r>
          </w:p>
        </w:tc>
        <w:tc>
          <w:tcPr>
            <w:tcW w:w="3603" w:type="dxa"/>
          </w:tcPr>
          <w:p w14:paraId="7057E027" w14:textId="178CCB20" w:rsidR="00A62B19" w:rsidRDefault="000465A6" w:rsidP="00B86DB9">
            <w:r>
              <w:t>C</w:t>
            </w:r>
            <w:r w:rsidR="00133D4B">
              <w:t xml:space="preserve">onfiguration methodology where the </w:t>
            </w:r>
            <w:r w:rsidR="003D4C08">
              <w:t>Rx</w:t>
            </w:r>
            <w:r w:rsidR="00133D4B">
              <w:t xml:space="preserve"> UE decides on the full DRX configuration </w:t>
            </w:r>
            <w:r>
              <w:t>as a response to the transmitting UE requesting a link.</w:t>
            </w:r>
          </w:p>
          <w:p w14:paraId="4831D0B6" w14:textId="14334FC2" w:rsidR="000465A6" w:rsidRDefault="00A77618" w:rsidP="00B86DB9">
            <w:r w:rsidRPr="005A265B">
              <w:rPr>
                <w:color w:val="70AD47" w:themeColor="accent6"/>
              </w:rPr>
              <w:t>Pro</w:t>
            </w:r>
            <w:r>
              <w:t xml:space="preserve"> and </w:t>
            </w:r>
            <w:r w:rsidRPr="005A265B">
              <w:rPr>
                <w:color w:val="FF0000"/>
              </w:rPr>
              <w:t>Cons</w:t>
            </w:r>
            <w:r>
              <w:t xml:space="preserve"> as in option 1, but seen from the </w:t>
            </w:r>
            <w:r w:rsidR="00583A7E">
              <w:t>Tx UE side</w:t>
            </w:r>
          </w:p>
        </w:tc>
      </w:tr>
      <w:tr w:rsidR="00583A7E" w14:paraId="4C72B476" w14:textId="77777777" w:rsidTr="00B86DB9">
        <w:tc>
          <w:tcPr>
            <w:tcW w:w="793" w:type="dxa"/>
          </w:tcPr>
          <w:p w14:paraId="1CE09B79" w14:textId="6781FAB7" w:rsidR="00583A7E" w:rsidRDefault="00583A7E" w:rsidP="00B86DB9">
            <w:r>
              <w:t>3</w:t>
            </w:r>
          </w:p>
        </w:tc>
        <w:tc>
          <w:tcPr>
            <w:tcW w:w="1161" w:type="dxa"/>
          </w:tcPr>
          <w:p w14:paraId="6FB941BA" w14:textId="44FE0BDB" w:rsidR="00583A7E" w:rsidRDefault="00583A7E" w:rsidP="00B86DB9">
            <w:r>
              <w:t>Assistance</w:t>
            </w:r>
          </w:p>
        </w:tc>
        <w:tc>
          <w:tcPr>
            <w:tcW w:w="1250" w:type="dxa"/>
          </w:tcPr>
          <w:p w14:paraId="311B756E" w14:textId="2EBD9107" w:rsidR="00583A7E" w:rsidRPr="00133D4B" w:rsidRDefault="00583A7E" w:rsidP="00B86DB9">
            <w:r>
              <w:t>Decision</w:t>
            </w:r>
          </w:p>
        </w:tc>
        <w:tc>
          <w:tcPr>
            <w:tcW w:w="1250" w:type="dxa"/>
          </w:tcPr>
          <w:p w14:paraId="1357643E" w14:textId="77777777" w:rsidR="00B86DB9" w:rsidRDefault="00583A7E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</w:t>
            </w:r>
            <w:r w:rsidR="00ED5B83">
              <w:rPr>
                <w:i/>
                <w:iCs/>
              </w:rPr>
              <w:t>/</w:t>
            </w:r>
          </w:p>
          <w:p w14:paraId="0574D65B" w14:textId="23126272" w:rsidR="00583A7E" w:rsidRPr="00133D4B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1353" w:type="dxa"/>
          </w:tcPr>
          <w:p w14:paraId="6E5008EB" w14:textId="3BB8953A" w:rsidR="00583A7E" w:rsidRDefault="00583A7E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</w:t>
            </w:r>
          </w:p>
        </w:tc>
        <w:tc>
          <w:tcPr>
            <w:tcW w:w="3603" w:type="dxa"/>
          </w:tcPr>
          <w:p w14:paraId="2DA92216" w14:textId="77777777" w:rsidR="00583A7E" w:rsidRDefault="009217FA" w:rsidP="00B86DB9">
            <w:r>
              <w:t xml:space="preserve">Rx UE decides on the </w:t>
            </w:r>
            <w:r w:rsidR="00B51B12">
              <w:t>DRX configuration based on assistance from the Tx UE</w:t>
            </w:r>
            <w:r w:rsidR="00373C30">
              <w:t>.</w:t>
            </w:r>
          </w:p>
          <w:p w14:paraId="522DB045" w14:textId="77777777" w:rsidR="00373C30" w:rsidRDefault="00373C30" w:rsidP="00B86DB9">
            <w:r w:rsidRPr="005A265B">
              <w:rPr>
                <w:color w:val="70AD47" w:themeColor="accent6"/>
              </w:rPr>
              <w:t>Pro</w:t>
            </w:r>
            <w:r>
              <w:t>; Only needing a few messages to</w:t>
            </w:r>
            <w:r w:rsidR="009C5382">
              <w:t xml:space="preserve"> reach an alignment between the Rx and Tx UE based on assistance information.</w:t>
            </w:r>
          </w:p>
          <w:p w14:paraId="0F73117D" w14:textId="544C527D" w:rsidR="009C5382" w:rsidRDefault="009C5382" w:rsidP="00B86DB9">
            <w:r w:rsidRPr="005A265B">
              <w:rPr>
                <w:color w:val="FF0000"/>
              </w:rPr>
              <w:t>Cons</w:t>
            </w:r>
            <w:r>
              <w:t xml:space="preserve">; Rx UE may not utilise the assistance information optimally. Not intuitive according </w:t>
            </w:r>
            <w:r w:rsidR="00DA60A3">
              <w:t>standard</w:t>
            </w:r>
            <w:r>
              <w:t xml:space="preserve"> </w:t>
            </w:r>
            <w:proofErr w:type="spellStart"/>
            <w:r>
              <w:t>Uu</w:t>
            </w:r>
            <w:proofErr w:type="spellEnd"/>
            <w:r>
              <w:t xml:space="preserve"> </w:t>
            </w:r>
            <w:r w:rsidR="00DA60A3">
              <w:t>methodology</w:t>
            </w:r>
            <w:r>
              <w:t>.</w:t>
            </w:r>
          </w:p>
        </w:tc>
      </w:tr>
      <w:tr w:rsidR="00ED5B83" w14:paraId="6F9677EF" w14:textId="77777777" w:rsidTr="00B86DB9">
        <w:tc>
          <w:tcPr>
            <w:tcW w:w="793" w:type="dxa"/>
          </w:tcPr>
          <w:p w14:paraId="685C1EAA" w14:textId="44726CBA" w:rsidR="00ED5B83" w:rsidRDefault="00ED5B83" w:rsidP="00B86DB9">
            <w:r>
              <w:t>4</w:t>
            </w:r>
          </w:p>
        </w:tc>
        <w:tc>
          <w:tcPr>
            <w:tcW w:w="1161" w:type="dxa"/>
          </w:tcPr>
          <w:p w14:paraId="31115CF7" w14:textId="78029EB2" w:rsidR="00ED5B83" w:rsidRDefault="00ED5B83" w:rsidP="00B86DB9">
            <w:r>
              <w:t>Assistance</w:t>
            </w:r>
          </w:p>
        </w:tc>
        <w:tc>
          <w:tcPr>
            <w:tcW w:w="1250" w:type="dxa"/>
          </w:tcPr>
          <w:p w14:paraId="02283737" w14:textId="6FE1E025" w:rsidR="00ED5B83" w:rsidRDefault="00ED5B83" w:rsidP="00B86DB9">
            <w:r>
              <w:t>Assistance</w:t>
            </w:r>
          </w:p>
        </w:tc>
        <w:tc>
          <w:tcPr>
            <w:tcW w:w="1250" w:type="dxa"/>
          </w:tcPr>
          <w:p w14:paraId="5BDAF765" w14:textId="30149F8F" w:rsidR="00ED5B83" w:rsidRPr="00ED5B83" w:rsidRDefault="00ED5B83" w:rsidP="00B86DB9">
            <w:r w:rsidRPr="00ED5B83">
              <w:t>Decision</w:t>
            </w:r>
          </w:p>
        </w:tc>
        <w:tc>
          <w:tcPr>
            <w:tcW w:w="1353" w:type="dxa"/>
          </w:tcPr>
          <w:p w14:paraId="53508F12" w14:textId="77777777" w:rsidR="00B86DB9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None/</w:t>
            </w:r>
          </w:p>
          <w:p w14:paraId="7A51C34B" w14:textId="451BB737" w:rsidR="00ED5B83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3603" w:type="dxa"/>
          </w:tcPr>
          <w:p w14:paraId="228A7EE4" w14:textId="52E80683" w:rsidR="00ED5B83" w:rsidRDefault="00C206A9" w:rsidP="00B86DB9">
            <w:r>
              <w:t xml:space="preserve">Somewhat special </w:t>
            </w:r>
            <w:r w:rsidR="00274F5E">
              <w:t>use case</w:t>
            </w:r>
            <w:r>
              <w:t xml:space="preserve"> where the </w:t>
            </w:r>
            <w:r w:rsidR="00ED5B83">
              <w:t>Tx UE provides</w:t>
            </w:r>
            <w:r w:rsidR="00992024">
              <w:t xml:space="preserve"> a selection of</w:t>
            </w:r>
            <w:r w:rsidR="00ED5B83">
              <w:t xml:space="preserve"> assistance</w:t>
            </w:r>
            <w:r w:rsidR="00992024">
              <w:t xml:space="preserve"> information</w:t>
            </w:r>
            <w:r w:rsidR="00ED5B83">
              <w:t xml:space="preserve"> as to </w:t>
            </w:r>
            <w:r w:rsidR="00AE4D0F">
              <w:t>indicate towards the Rx UE which DRX configuration is suitable</w:t>
            </w:r>
            <w:r w:rsidR="00BA47C3">
              <w:t xml:space="preserve"> to choose from. The </w:t>
            </w:r>
            <w:r w:rsidR="002677C5">
              <w:t>Rx UE then provides the best case(s) to the Tx UE which then decides on the configuration.</w:t>
            </w:r>
          </w:p>
          <w:p w14:paraId="5D555FE7" w14:textId="6C2ED950" w:rsidR="002677C5" w:rsidRDefault="002677C5" w:rsidP="00B86DB9">
            <w:r w:rsidRPr="005A265B">
              <w:rPr>
                <w:color w:val="70AD47" w:themeColor="accent6"/>
              </w:rPr>
              <w:t>Pro</w:t>
            </w:r>
            <w:r>
              <w:t xml:space="preserve">; Good </w:t>
            </w:r>
            <w:r w:rsidR="00544392">
              <w:t xml:space="preserve">alignment between Rx and Tx UE. Methodology aligned with </w:t>
            </w:r>
            <w:proofErr w:type="spellStart"/>
            <w:r w:rsidR="00544392">
              <w:t>Uu</w:t>
            </w:r>
            <w:proofErr w:type="spellEnd"/>
            <w:r w:rsidR="00544392">
              <w:t xml:space="preserve"> as Tx UE is the one whom decides configuration.</w:t>
            </w:r>
          </w:p>
          <w:p w14:paraId="2DBE10C7" w14:textId="61C5198C" w:rsidR="00544392" w:rsidRDefault="00544392" w:rsidP="00B86DB9">
            <w:r w:rsidRPr="005A265B">
              <w:rPr>
                <w:color w:val="FF0000"/>
              </w:rPr>
              <w:t>Cons</w:t>
            </w:r>
            <w:r>
              <w:t xml:space="preserve">; Multiple messages </w:t>
            </w:r>
            <w:r w:rsidR="0032159E">
              <w:t>makes the configuration take more time than needed</w:t>
            </w:r>
          </w:p>
        </w:tc>
      </w:tr>
    </w:tbl>
    <w:p w14:paraId="35AB7FC2" w14:textId="77777777" w:rsidR="00121224" w:rsidRDefault="00121224" w:rsidP="00133E2E">
      <w:pPr>
        <w:pStyle w:val="Heading2"/>
        <w:ind w:left="0" w:firstLine="0"/>
      </w:pPr>
    </w:p>
    <w:p w14:paraId="5F01C058" w14:textId="7BFA5D68" w:rsidR="00A209D6" w:rsidRDefault="00B7538C" w:rsidP="00A209D6">
      <w:pPr>
        <w:pStyle w:val="Heading2"/>
      </w:pPr>
      <w:r>
        <w:t>2</w:t>
      </w:r>
      <w:r w:rsidR="00A209D6" w:rsidRPr="006E13D1">
        <w:t>.</w:t>
      </w:r>
      <w:r w:rsidR="00121224">
        <w:t>1</w:t>
      </w:r>
      <w:r w:rsidR="00A209D6" w:rsidRPr="006E13D1">
        <w:tab/>
      </w:r>
      <w:r w:rsidR="00184AF4">
        <w:t>Advantages</w:t>
      </w:r>
      <w:r w:rsidR="00C5728C">
        <w:t xml:space="preserve"> of the deciding entity</w:t>
      </w:r>
    </w:p>
    <w:p w14:paraId="5C5EF232" w14:textId="4327752C" w:rsidR="00121224" w:rsidRDefault="009B2FDE" w:rsidP="00121224">
      <w:r>
        <w:t xml:space="preserve">One important factor that deviates within the area of </w:t>
      </w:r>
      <w:proofErr w:type="spellStart"/>
      <w:r>
        <w:t>sidelink</w:t>
      </w:r>
      <w:proofErr w:type="spellEnd"/>
      <w:r>
        <w:t xml:space="preserve"> compared to </w:t>
      </w:r>
      <w:proofErr w:type="spellStart"/>
      <w:r>
        <w:t>Uu</w:t>
      </w:r>
      <w:proofErr w:type="spellEnd"/>
      <w:r>
        <w:t>, is that a single UE will have many connected entities</w:t>
      </w:r>
      <w:r w:rsidR="000B34DA">
        <w:t xml:space="preserve"> through different links</w:t>
      </w:r>
      <w:r w:rsidR="006A737D">
        <w:t xml:space="preserve">. </w:t>
      </w:r>
      <w:r w:rsidR="000B34DA">
        <w:t>As each of these links</w:t>
      </w:r>
      <w:r w:rsidR="006A737D">
        <w:t xml:space="preserve"> may have different </w:t>
      </w:r>
      <w:r w:rsidR="007C16BC">
        <w:t>QoS requirements</w:t>
      </w:r>
      <w:r w:rsidR="000B34DA">
        <w:t>, the DRX requirements/</w:t>
      </w:r>
      <w:r w:rsidR="00E41AB1">
        <w:t>options may be different.</w:t>
      </w:r>
      <w:r>
        <w:t xml:space="preserve"> </w:t>
      </w:r>
      <w:r w:rsidR="002F7466">
        <w:t xml:space="preserve">The basic advantage of being the deciding entity is, that the DRX configuration will </w:t>
      </w:r>
      <w:r w:rsidR="00E41AB1">
        <w:t>then be more likely to be aligned with the other links within the UE</w:t>
      </w:r>
      <w:r w:rsidR="00A26D58">
        <w:t>, causing more power saving opportunities for the deciding entity.</w:t>
      </w:r>
      <w:r w:rsidR="003D77BE">
        <w:t xml:space="preserve"> </w:t>
      </w:r>
      <w:r w:rsidR="002F4281">
        <w:t xml:space="preserve">This </w:t>
      </w:r>
      <w:r w:rsidR="0032410C">
        <w:t xml:space="preserve">should be true </w:t>
      </w:r>
      <w:r w:rsidR="00726289">
        <w:t>no matter whether</w:t>
      </w:r>
      <w:r w:rsidR="0032410C">
        <w:t xml:space="preserve"> assistance information is </w:t>
      </w:r>
      <w:r w:rsidR="00726289">
        <w:t xml:space="preserve">included in the </w:t>
      </w:r>
      <w:r w:rsidR="0052735D">
        <w:t>setup process.</w:t>
      </w:r>
    </w:p>
    <w:p w14:paraId="1775C62C" w14:textId="7E890EB1" w:rsidR="009B2FDE" w:rsidRDefault="009B2FDE" w:rsidP="009B2FDE">
      <w:r w:rsidRPr="009B2FDE">
        <w:rPr>
          <w:b/>
          <w:bCs/>
        </w:rPr>
        <w:lastRenderedPageBreak/>
        <w:t xml:space="preserve">Observation 1: </w:t>
      </w:r>
      <w:r>
        <w:t xml:space="preserve">The advantage of being the deciding entity is, that the </w:t>
      </w:r>
      <w:r w:rsidR="002F4281">
        <w:t xml:space="preserve">new </w:t>
      </w:r>
      <w:r>
        <w:t xml:space="preserve">DRX configuration </w:t>
      </w:r>
      <w:r w:rsidR="002F4281">
        <w:t>can</w:t>
      </w:r>
      <w:r>
        <w:t xml:space="preserve"> be aligned with the</w:t>
      </w:r>
      <w:r w:rsidR="00A26D58">
        <w:t xml:space="preserve"> other links</w:t>
      </w:r>
      <w:r w:rsidR="002F4281">
        <w:t xml:space="preserve"> within the given entity.</w:t>
      </w:r>
    </w:p>
    <w:p w14:paraId="6B0598D4" w14:textId="5BC6FA51" w:rsidR="0032410C" w:rsidRDefault="0032410C" w:rsidP="009B2FDE">
      <w:r w:rsidRPr="002B149D">
        <w:rPr>
          <w:b/>
          <w:bCs/>
        </w:rPr>
        <w:t>Observation 2:</w:t>
      </w:r>
      <w:r>
        <w:t xml:space="preserve"> </w:t>
      </w:r>
      <w:r w:rsidR="003D3E79">
        <w:t xml:space="preserve">As the assistance information may not limit the final decision, whether to include this has limited </w:t>
      </w:r>
      <w:r w:rsidR="002B149D">
        <w:t xml:space="preserve">impact on the decision </w:t>
      </w:r>
      <w:r w:rsidR="00726289">
        <w:t>of the decision should be Tx- or Rx-centric.</w:t>
      </w:r>
    </w:p>
    <w:p w14:paraId="5FBA4CD1" w14:textId="27D2069B" w:rsidR="00485A44" w:rsidRDefault="00B86977" w:rsidP="009B2FDE">
      <w:r>
        <w:t xml:space="preserve">As of this, it is true </w:t>
      </w:r>
      <w:r w:rsidR="00F15794">
        <w:t xml:space="preserve">that both the Tx- and Rx-centric approach has equal advantages for </w:t>
      </w:r>
      <w:r w:rsidR="00F444A7">
        <w:t>the given UEs</w:t>
      </w:r>
      <w:r w:rsidR="004A6CB7">
        <w:t xml:space="preserve"> power saving opportunities</w:t>
      </w:r>
      <w:r w:rsidR="00EB5F33">
        <w:t>.</w:t>
      </w:r>
      <w:r w:rsidR="007F4FB4">
        <w:t xml:space="preserve"> </w:t>
      </w:r>
      <w:r w:rsidR="00EA7478">
        <w:t>T</w:t>
      </w:r>
      <w:r w:rsidR="007F4FB4">
        <w:t xml:space="preserve">o achieve optimal power saving, </w:t>
      </w:r>
      <w:r w:rsidR="00D83325">
        <w:t>it would make sense to allow the most impacted UE to be the deciding entity</w:t>
      </w:r>
      <w:r w:rsidR="0066180A">
        <w:t>, or at least the one with the stringent requirement</w:t>
      </w:r>
      <w:r w:rsidR="00943275">
        <w:t xml:space="preserve">. However, </w:t>
      </w:r>
      <w:r w:rsidR="00EA7478">
        <w:t>defining the most impacted UE as a fixed</w:t>
      </w:r>
      <w:r w:rsidR="00943275">
        <w:t xml:space="preserve"> </w:t>
      </w:r>
      <w:r w:rsidR="001B328E">
        <w:t xml:space="preserve">entity may not be </w:t>
      </w:r>
      <w:r w:rsidR="00274F5E">
        <w:t>enough</w:t>
      </w:r>
      <w:r w:rsidR="001B328E">
        <w:t>, as the benefits and drawbacks are present for both sides</w:t>
      </w:r>
    </w:p>
    <w:p w14:paraId="7B7DCD63" w14:textId="4D2C83F5" w:rsidR="0052735D" w:rsidRDefault="00943275" w:rsidP="009B2FDE">
      <w:r>
        <w:t>In Rel-16</w:t>
      </w:r>
      <w:r w:rsidR="00792842">
        <w:t>, similar considerations were made</w:t>
      </w:r>
      <w:r w:rsidR="004A02C0">
        <w:t xml:space="preserve"> </w:t>
      </w:r>
      <w:r w:rsidR="00C66AAF">
        <w:t>during discussion on</w:t>
      </w:r>
      <w:r w:rsidR="004A02C0">
        <w:t xml:space="preserve"> prioritisation between UL and SL communication</w:t>
      </w:r>
      <w:r w:rsidR="00C66AAF">
        <w:t xml:space="preserve">. In this case, a </w:t>
      </w:r>
      <w:r w:rsidR="00931795">
        <w:t>priority-based</w:t>
      </w:r>
      <w:r w:rsidR="00C66AAF">
        <w:t xml:space="preserve"> scheme </w:t>
      </w:r>
      <w:r w:rsidR="005335BA">
        <w:t>was</w:t>
      </w:r>
      <w:r w:rsidR="00C66AAF">
        <w:t xml:space="preserve"> </w:t>
      </w:r>
      <w:r w:rsidR="001E63A5">
        <w:t xml:space="preserve">agreed, in order to ensure a </w:t>
      </w:r>
      <w:r w:rsidR="00B53F04">
        <w:t xml:space="preserve">controlled </w:t>
      </w:r>
      <w:r w:rsidR="00931795">
        <w:t xml:space="preserve">decision process. To a large extend, this type of decision could be beneficial in the </w:t>
      </w:r>
      <w:r w:rsidR="005335BA">
        <w:t>DRX configuration decision process, as this will allow for each UE to obtain t</w:t>
      </w:r>
      <w:r w:rsidR="00E63B03">
        <w:t xml:space="preserve">he optimal configuration in case it is the </w:t>
      </w:r>
      <w:r w:rsidR="001E40BB">
        <w:t>one with the most stringent requirement.</w:t>
      </w:r>
      <w:r w:rsidR="00124903">
        <w:t xml:space="preserve"> </w:t>
      </w:r>
      <w:r w:rsidR="007207A8">
        <w:t>The parameters to decide on could either be QoS related, or power saving related.</w:t>
      </w:r>
    </w:p>
    <w:p w14:paraId="3FCF2885" w14:textId="2BED57DA" w:rsidR="00882CA2" w:rsidRDefault="00FD35E4" w:rsidP="009B2FDE">
      <w:r>
        <w:t>Using a priority</w:t>
      </w:r>
      <w:r w:rsidR="00DB4F61">
        <w:t>-</w:t>
      </w:r>
      <w:r>
        <w:t>based decision making will also allow the message overhead to be reduced. Assuming the Tx</w:t>
      </w:r>
      <w:r w:rsidR="00287352">
        <w:t xml:space="preserve"> entity is the one initiating the connection</w:t>
      </w:r>
      <w:r w:rsidR="001E0DC5">
        <w:t>; if the priority or QoS parameters indicate such, it may be efficient to go for scenario 1 in Table 1</w:t>
      </w:r>
      <w:r w:rsidR="00166B61">
        <w:t>, which requires very little message exchange</w:t>
      </w:r>
      <w:r w:rsidR="001E0DC5">
        <w:t>. If the requirements are less stringent, going for assistance information (scenario 3), or a pure Rx-centric decision (scenario 2) may ensure a more efficient configuratio</w:t>
      </w:r>
      <w:r w:rsidR="00166B61">
        <w:t xml:space="preserve">n for the Rx UE, as well as still being able to limit the </w:t>
      </w:r>
      <w:r w:rsidR="007A0C81">
        <w:t>number</w:t>
      </w:r>
      <w:r w:rsidR="00166B61">
        <w:t xml:space="preserve"> of messages</w:t>
      </w:r>
      <w:r w:rsidR="001E0DC5">
        <w:t>.</w:t>
      </w:r>
    </w:p>
    <w:p w14:paraId="3125C53F" w14:textId="0A06CEC9" w:rsidR="00361F12" w:rsidRDefault="003916D9" w:rsidP="009B2FDE">
      <w:r w:rsidRPr="009B2FDE">
        <w:rPr>
          <w:b/>
          <w:bCs/>
        </w:rPr>
        <w:t xml:space="preserve">Observation </w:t>
      </w:r>
      <w:r>
        <w:rPr>
          <w:b/>
          <w:bCs/>
        </w:rPr>
        <w:t>3</w:t>
      </w:r>
      <w:r w:rsidRPr="009B2FDE">
        <w:rPr>
          <w:b/>
          <w:bCs/>
        </w:rPr>
        <w:t xml:space="preserve">: </w:t>
      </w:r>
      <w:r>
        <w:t xml:space="preserve">Tx- and Rx-centric approach have equal </w:t>
      </w:r>
      <w:r w:rsidR="00500585">
        <w:t xml:space="preserve">power saving </w:t>
      </w:r>
      <w:r w:rsidR="00851415">
        <w:t xml:space="preserve">and efficiency </w:t>
      </w:r>
      <w:bookmarkStart w:id="0" w:name="_GoBack"/>
      <w:bookmarkEnd w:id="0"/>
      <w:r w:rsidR="00361F12">
        <w:t>advantages</w:t>
      </w:r>
      <w:r w:rsidR="007965F8">
        <w:t xml:space="preserve"> in different </w:t>
      </w:r>
      <w:r w:rsidR="002D5130">
        <w:t>use cases</w:t>
      </w:r>
      <w:r w:rsidR="00500585">
        <w:t>, but the message overhead may differ</w:t>
      </w:r>
      <w:r w:rsidR="007965F8">
        <w:t>.</w:t>
      </w:r>
    </w:p>
    <w:p w14:paraId="259F91BA" w14:textId="645D3719" w:rsidR="00A05455" w:rsidRDefault="00A05455" w:rsidP="00A05455">
      <w:r w:rsidRPr="00361F12">
        <w:rPr>
          <w:b/>
          <w:bCs/>
        </w:rPr>
        <w:t>Proposal 1:</w:t>
      </w:r>
      <w:r>
        <w:t xml:space="preserve"> RAN2 to agree that both Tx- </w:t>
      </w:r>
      <w:r w:rsidR="00851415">
        <w:t>and</w:t>
      </w:r>
      <w:r>
        <w:t xml:space="preserve"> Rx-centric approach can be adopted. FFS on how and when to distinguish usage of each.</w:t>
      </w:r>
    </w:p>
    <w:p w14:paraId="75A64969" w14:textId="77777777" w:rsidR="00A05455" w:rsidRDefault="00A05455" w:rsidP="00A05455">
      <w:r w:rsidRPr="003F3369">
        <w:rPr>
          <w:b/>
          <w:bCs/>
        </w:rPr>
        <w:t>Observation 4:</w:t>
      </w:r>
      <w:r>
        <w:t xml:space="preserve"> Agreeing to using both Tx- and Rx-centric approach rise a similar prioritisation issue as when discussing UL/SL prioritisation.</w:t>
      </w:r>
    </w:p>
    <w:p w14:paraId="68973209" w14:textId="6322FF82" w:rsidR="000F6595" w:rsidRDefault="00A05455" w:rsidP="009B2FDE">
      <w:r w:rsidRPr="00B078C3">
        <w:rPr>
          <w:b/>
          <w:bCs/>
        </w:rPr>
        <w:t xml:space="preserve">Proposal </w:t>
      </w:r>
      <w:r>
        <w:rPr>
          <w:b/>
          <w:bCs/>
        </w:rPr>
        <w:t>2</w:t>
      </w:r>
      <w:r w:rsidRPr="00B078C3">
        <w:rPr>
          <w:b/>
          <w:bCs/>
        </w:rPr>
        <w:t>:</w:t>
      </w:r>
      <w:r>
        <w:rPr>
          <w:b/>
          <w:bCs/>
        </w:rPr>
        <w:t xml:space="preserve"> </w:t>
      </w:r>
      <w:r w:rsidRPr="00B078C3">
        <w:t>RAN2</w:t>
      </w:r>
      <w:r>
        <w:t xml:space="preserve"> to investigate on whether to a UL/SL prioritisation like concept as baseline for deciding between Tx- or Rx-centric approach i.e. a priority-based decision. FFS on which type of parameters to include.</w:t>
      </w:r>
    </w:p>
    <w:p w14:paraId="63604E04" w14:textId="77777777" w:rsidR="0046239F" w:rsidRDefault="0046239F" w:rsidP="0046239F">
      <w:pPr>
        <w:pStyle w:val="Heading2"/>
        <w:ind w:left="0" w:firstLine="0"/>
      </w:pPr>
    </w:p>
    <w:p w14:paraId="009DD8BB" w14:textId="65944BF6" w:rsidR="0046239F" w:rsidRDefault="0046239F" w:rsidP="0046239F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The DRX configuration procedure</w:t>
      </w:r>
    </w:p>
    <w:p w14:paraId="0F671511" w14:textId="7447F277" w:rsidR="0046239F" w:rsidRPr="00E71E71" w:rsidRDefault="007F5702" w:rsidP="0046239F">
      <w:r>
        <w:t>I</w:t>
      </w:r>
      <w:r w:rsidR="0082433D">
        <w:t xml:space="preserve">n </w:t>
      </w:r>
      <w:hyperlink r:id="rId15" w:history="1">
        <w:r w:rsidR="0082433D" w:rsidRPr="00DE54D0">
          <w:rPr>
            <w:rStyle w:val="Hyperlink"/>
          </w:rPr>
          <w:t>RAN2#11</w:t>
        </w:r>
        <w:r w:rsidR="008A7836" w:rsidRPr="00DE54D0">
          <w:rPr>
            <w:rStyle w:val="Hyperlink"/>
          </w:rPr>
          <w:t>3</w:t>
        </w:r>
      </w:hyperlink>
      <w:sdt>
        <w:sdtPr>
          <w:id w:val="733747491"/>
          <w:citation/>
        </w:sdtPr>
        <w:sdtContent>
          <w:r w:rsidR="009A5A5A">
            <w:fldChar w:fldCharType="begin"/>
          </w:r>
          <w:r w:rsidR="009A5A5A" w:rsidRPr="009A5A5A">
            <w:rPr>
              <w:lang w:val="en-US"/>
            </w:rPr>
            <w:instrText xml:space="preserve"> CITATION R22 \l 1030 </w:instrText>
          </w:r>
          <w:r w:rsidR="009A5A5A">
            <w:fldChar w:fldCharType="separate"/>
          </w:r>
          <w:r w:rsidR="009A5A5A">
            <w:rPr>
              <w:noProof/>
              <w:lang w:val="en-US"/>
            </w:rPr>
            <w:t xml:space="preserve"> </w:t>
          </w:r>
          <w:r w:rsidR="009A5A5A" w:rsidRPr="009A5A5A">
            <w:rPr>
              <w:noProof/>
              <w:lang w:val="en-US"/>
            </w:rPr>
            <w:t>[2]</w:t>
          </w:r>
          <w:r w:rsidR="009A5A5A">
            <w:fldChar w:fldCharType="end"/>
          </w:r>
        </w:sdtContent>
      </w:sdt>
      <w:r w:rsidR="0082433D">
        <w:t xml:space="preserve">, it was agreed that the </w:t>
      </w:r>
      <w:r w:rsidR="00E71E71">
        <w:t>DRX configuration is made pe</w:t>
      </w:r>
      <w:r w:rsidR="00294919">
        <w:t>r-direction</w:t>
      </w:r>
      <w:r w:rsidR="00C63A49">
        <w:t xml:space="preserve">, but this does not in our view preclude that the DRX configuration process needs to be separate for each direction. </w:t>
      </w:r>
      <w:r w:rsidR="000F52CF">
        <w:t xml:space="preserve">Allowing the configuration/assistance information exchange to be setup in a combined process may have advantages in terms of </w:t>
      </w:r>
      <w:r w:rsidR="00D7708F">
        <w:t xml:space="preserve">decreasing the </w:t>
      </w:r>
      <w:r w:rsidR="007A0C81">
        <w:t>number</w:t>
      </w:r>
      <w:r w:rsidR="00D7708F">
        <w:t xml:space="preserve"> of steps to be taken before a link is set up.</w:t>
      </w:r>
      <w:r w:rsidR="007A0C81">
        <w:t xml:space="preserve"> Assuming</w:t>
      </w:r>
      <w:r w:rsidR="00265AD6">
        <w:t xml:space="preserve"> an initiating entity being the i.e. one reacting to a discovery message, it may make sense to have this being the </w:t>
      </w:r>
      <w:r w:rsidR="00F1399D">
        <w:t>initial origin of the SL DRX configuration procedure.</w:t>
      </w:r>
    </w:p>
    <w:p w14:paraId="288CBFA8" w14:textId="6E9D303A" w:rsidR="00A05455" w:rsidRDefault="00A05455" w:rsidP="00A05455">
      <w:r w:rsidRPr="00F75778">
        <w:rPr>
          <w:b/>
          <w:bCs/>
        </w:rPr>
        <w:t xml:space="preserve">Observation </w:t>
      </w:r>
      <w:r>
        <w:rPr>
          <w:b/>
          <w:bCs/>
        </w:rPr>
        <w:t>5</w:t>
      </w:r>
      <w:r w:rsidRPr="00F75778">
        <w:rPr>
          <w:b/>
          <w:bCs/>
        </w:rPr>
        <w:t>:</w:t>
      </w:r>
      <w:r w:rsidRPr="00FF44D9">
        <w:t xml:space="preserve"> </w:t>
      </w:r>
      <w:r>
        <w:t xml:space="preserve">Initiating UE should </w:t>
      </w:r>
      <w:proofErr w:type="gramStart"/>
      <w:r>
        <w:t>provide assistance</w:t>
      </w:r>
      <w:proofErr w:type="gramEnd"/>
      <w:r>
        <w:t xml:space="preserve"> or be allowed to make initial decision.</w:t>
      </w:r>
    </w:p>
    <w:p w14:paraId="3ABABA60" w14:textId="5636C8A0" w:rsidR="00A05455" w:rsidRDefault="00A05455" w:rsidP="00A05455">
      <w:pPr>
        <w:rPr>
          <w:b/>
          <w:bCs/>
        </w:rPr>
      </w:pPr>
      <w:r w:rsidRPr="00FF44D9">
        <w:rPr>
          <w:b/>
          <w:bCs/>
        </w:rPr>
        <w:t xml:space="preserve">Proposal </w:t>
      </w:r>
      <w:r>
        <w:rPr>
          <w:b/>
          <w:bCs/>
        </w:rPr>
        <w:t>3</w:t>
      </w:r>
      <w:r w:rsidRPr="00FF44D9">
        <w:rPr>
          <w:b/>
          <w:bCs/>
        </w:rPr>
        <w:t>:</w:t>
      </w:r>
      <w:r>
        <w:t xml:space="preserve"> RAN2 to agree that if both Tx- and Rx-centric approach is agreed, the UE </w:t>
      </w:r>
      <w:r w:rsidR="00274F5E">
        <w:t xml:space="preserve">initiating a link setup </w:t>
      </w:r>
      <w:r>
        <w:t>should be allowed to make the first decision.</w:t>
      </w:r>
    </w:p>
    <w:p w14:paraId="0A23DB7C" w14:textId="5EA0612E" w:rsidR="000F5CD9" w:rsidRPr="000F5CD9" w:rsidRDefault="000F5CD9" w:rsidP="0046239F">
      <w:pPr>
        <w:rPr>
          <w:b/>
          <w:bCs/>
        </w:rPr>
      </w:pPr>
      <w:r w:rsidRPr="000F5CD9">
        <w:rPr>
          <w:b/>
          <w:bCs/>
        </w:rPr>
        <w:t xml:space="preserve">Observation </w:t>
      </w:r>
      <w:r w:rsidR="00A05455">
        <w:rPr>
          <w:b/>
          <w:bCs/>
        </w:rPr>
        <w:t>6</w:t>
      </w:r>
      <w:r w:rsidRPr="000F5CD9">
        <w:rPr>
          <w:b/>
          <w:bCs/>
        </w:rPr>
        <w:t xml:space="preserve">: </w:t>
      </w:r>
      <w:r w:rsidR="00500585" w:rsidRPr="00A05455">
        <w:t>Although the</w:t>
      </w:r>
      <w:r w:rsidR="0082433D" w:rsidRPr="00A05455">
        <w:t xml:space="preserve"> RAN2 decision is to</w:t>
      </w:r>
      <w:r w:rsidR="000F02D4" w:rsidRPr="00A05455">
        <w:t xml:space="preserve"> have per direction DRX configuration, this does not mean that the </w:t>
      </w:r>
      <w:r w:rsidR="008A7836" w:rsidRPr="00A05455">
        <w:t>configuration process should be split.</w:t>
      </w:r>
    </w:p>
    <w:p w14:paraId="2115EFAF" w14:textId="27D3725C" w:rsidR="000F5CD9" w:rsidRPr="000F5CD9" w:rsidRDefault="000F5CD9" w:rsidP="0046239F">
      <w:pPr>
        <w:rPr>
          <w:b/>
          <w:bCs/>
        </w:rPr>
      </w:pPr>
      <w:r w:rsidRPr="000F5CD9">
        <w:rPr>
          <w:b/>
          <w:bCs/>
        </w:rPr>
        <w:t xml:space="preserve">Proposal </w:t>
      </w:r>
      <w:r w:rsidR="000F02D4">
        <w:rPr>
          <w:b/>
          <w:bCs/>
        </w:rPr>
        <w:t>4</w:t>
      </w:r>
      <w:r w:rsidRPr="000F5CD9">
        <w:rPr>
          <w:b/>
          <w:bCs/>
        </w:rPr>
        <w:t>:</w:t>
      </w:r>
      <w:r>
        <w:rPr>
          <w:b/>
          <w:bCs/>
        </w:rPr>
        <w:t xml:space="preserve"> </w:t>
      </w:r>
      <w:r w:rsidRPr="00A05455">
        <w:t xml:space="preserve">RAN2 to agree that the </w:t>
      </w:r>
      <w:r w:rsidR="00882CA2" w:rsidRPr="00A05455">
        <w:t>DRX configuration process may be combined as to save message overhead.</w:t>
      </w:r>
    </w:p>
    <w:p w14:paraId="688ED800" w14:textId="77777777" w:rsidR="007B3EE8" w:rsidRPr="00D42FFC" w:rsidRDefault="007B3EE8" w:rsidP="00D42FFC"/>
    <w:p w14:paraId="71358DD1" w14:textId="7E4A6180" w:rsidR="00A209D6" w:rsidRPr="00E744F4" w:rsidRDefault="00A209D6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7B7240A4" w14:textId="1408F599" w:rsidR="004F73A7" w:rsidRPr="006E13D1" w:rsidRDefault="004F73A7" w:rsidP="00A209D6">
      <w:proofErr w:type="gramStart"/>
      <w:r>
        <w:t>This documents</w:t>
      </w:r>
      <w:proofErr w:type="gramEnd"/>
      <w:r>
        <w:t xml:space="preserve"> has made</w:t>
      </w:r>
      <w:r w:rsidR="004F4540">
        <w:t xml:space="preserve"> the following observations:</w:t>
      </w:r>
    </w:p>
    <w:p w14:paraId="1CB08ECD" w14:textId="77777777" w:rsidR="00CA6875" w:rsidRDefault="00CA6875" w:rsidP="00CA6875">
      <w:r w:rsidRPr="009B2FDE">
        <w:rPr>
          <w:b/>
          <w:bCs/>
        </w:rPr>
        <w:lastRenderedPageBreak/>
        <w:t xml:space="preserve">Observation 1: </w:t>
      </w:r>
      <w:r>
        <w:t>The advantage of being the deciding entity is, that the new DRX configuration can be aligned with the other links within the given entity.</w:t>
      </w:r>
    </w:p>
    <w:p w14:paraId="1ED12ED0" w14:textId="6FA07BE1" w:rsidR="004F73A7" w:rsidRDefault="00CA6875" w:rsidP="00CA6875">
      <w:r w:rsidRPr="002B149D">
        <w:rPr>
          <w:b/>
          <w:bCs/>
        </w:rPr>
        <w:t>Observation 2:</w:t>
      </w:r>
      <w:r>
        <w:t xml:space="preserve"> As the assistance information may not limit the final decision, whether to include this has limited impact on the decision of the decision should be Tx- or Rx-centric.</w:t>
      </w:r>
    </w:p>
    <w:p w14:paraId="4E93CC4F" w14:textId="77777777" w:rsidR="00DE54D0" w:rsidRDefault="00DE54D0" w:rsidP="00DE54D0">
      <w:r w:rsidRPr="009B2FDE">
        <w:rPr>
          <w:b/>
          <w:bCs/>
        </w:rPr>
        <w:t xml:space="preserve">Observation </w:t>
      </w:r>
      <w:r>
        <w:rPr>
          <w:b/>
          <w:bCs/>
        </w:rPr>
        <w:t>3</w:t>
      </w:r>
      <w:r w:rsidRPr="009B2FDE">
        <w:rPr>
          <w:b/>
          <w:bCs/>
        </w:rPr>
        <w:t xml:space="preserve">: </w:t>
      </w:r>
      <w:r>
        <w:t>Tx- and Rx-centric approach have equal power saving advantages in different use cases, but the message overhead may differ.</w:t>
      </w:r>
    </w:p>
    <w:p w14:paraId="1711BF81" w14:textId="7EF65C73" w:rsidR="00DE54D0" w:rsidRDefault="00DE54D0" w:rsidP="00DE54D0">
      <w:r w:rsidRPr="00361F12">
        <w:rPr>
          <w:b/>
          <w:bCs/>
        </w:rPr>
        <w:t>Proposal 1:</w:t>
      </w:r>
      <w:r>
        <w:t xml:space="preserve"> RAN2 to agree that both Tx- </w:t>
      </w:r>
      <w:proofErr w:type="gramStart"/>
      <w:r>
        <w:t>or</w:t>
      </w:r>
      <w:proofErr w:type="gramEnd"/>
      <w:r>
        <w:t xml:space="preserve"> Rx-centric approach </w:t>
      </w:r>
      <w:r w:rsidR="00994444">
        <w:t>can</w:t>
      </w:r>
      <w:r>
        <w:t xml:space="preserve"> be adopted.</w:t>
      </w:r>
      <w:r w:rsidR="00994444">
        <w:t xml:space="preserve"> FFS on how and when to distinguish</w:t>
      </w:r>
      <w:r w:rsidR="00EC7320">
        <w:t xml:space="preserve"> usage of each.</w:t>
      </w:r>
    </w:p>
    <w:p w14:paraId="678DEB9C" w14:textId="77777777" w:rsidR="00A05455" w:rsidRDefault="00A05455" w:rsidP="00A05455">
      <w:r w:rsidRPr="003F3369">
        <w:rPr>
          <w:b/>
          <w:bCs/>
        </w:rPr>
        <w:t>Observation 4:</w:t>
      </w:r>
      <w:r>
        <w:t xml:space="preserve"> Agreeing to using both Tx- and Rx-centric approach rise a similar prioritisation issue as when discussing UL/SL prioritisation.</w:t>
      </w:r>
    </w:p>
    <w:p w14:paraId="13CE2C80" w14:textId="0583ADDC" w:rsidR="00A05455" w:rsidRPr="00A05455" w:rsidRDefault="00A05455" w:rsidP="00DE54D0">
      <w:r w:rsidRPr="00B078C3">
        <w:rPr>
          <w:b/>
          <w:bCs/>
        </w:rPr>
        <w:t xml:space="preserve">Proposal </w:t>
      </w:r>
      <w:r>
        <w:rPr>
          <w:b/>
          <w:bCs/>
        </w:rPr>
        <w:t>2</w:t>
      </w:r>
      <w:r w:rsidRPr="00B078C3">
        <w:rPr>
          <w:b/>
          <w:bCs/>
        </w:rPr>
        <w:t>:</w:t>
      </w:r>
      <w:r>
        <w:rPr>
          <w:b/>
          <w:bCs/>
        </w:rPr>
        <w:t xml:space="preserve"> </w:t>
      </w:r>
      <w:r w:rsidRPr="00B078C3">
        <w:t>RAN2</w:t>
      </w:r>
      <w:r>
        <w:t xml:space="preserve"> to investigate on whether to a UL/SL prioritisation like concept as baseline for deciding between Tx- or Rx-centric approach i.e. a priority-based decision. FFS on which type of parameters to include.</w:t>
      </w:r>
    </w:p>
    <w:p w14:paraId="4336AE3D" w14:textId="5BE88996" w:rsidR="00274F5E" w:rsidRDefault="00274F5E" w:rsidP="00274F5E">
      <w:r w:rsidRPr="00F75778">
        <w:rPr>
          <w:b/>
          <w:bCs/>
        </w:rPr>
        <w:t xml:space="preserve">Observation </w:t>
      </w:r>
      <w:r>
        <w:rPr>
          <w:b/>
          <w:bCs/>
        </w:rPr>
        <w:t>5</w:t>
      </w:r>
      <w:r w:rsidRPr="00F75778">
        <w:rPr>
          <w:b/>
          <w:bCs/>
        </w:rPr>
        <w:t>:</w:t>
      </w:r>
      <w:r w:rsidRPr="00FF44D9">
        <w:t xml:space="preserve"> </w:t>
      </w:r>
      <w:r>
        <w:t xml:space="preserve">Initiating UE should </w:t>
      </w:r>
      <w:proofErr w:type="gramStart"/>
      <w:r>
        <w:t>provide assistance</w:t>
      </w:r>
      <w:proofErr w:type="gramEnd"/>
      <w:r>
        <w:t xml:space="preserve"> </w:t>
      </w:r>
      <w:r>
        <w:t xml:space="preserve">information </w:t>
      </w:r>
      <w:r>
        <w:t>or be allowed to make initial decision.</w:t>
      </w:r>
    </w:p>
    <w:p w14:paraId="23C72012" w14:textId="77777777" w:rsidR="00274F5E" w:rsidRDefault="00274F5E" w:rsidP="00274F5E">
      <w:pPr>
        <w:rPr>
          <w:b/>
          <w:bCs/>
        </w:rPr>
      </w:pPr>
      <w:r w:rsidRPr="00FF44D9">
        <w:rPr>
          <w:b/>
          <w:bCs/>
        </w:rPr>
        <w:t xml:space="preserve">Proposal </w:t>
      </w:r>
      <w:r>
        <w:rPr>
          <w:b/>
          <w:bCs/>
        </w:rPr>
        <w:t>3</w:t>
      </w:r>
      <w:r w:rsidRPr="00FF44D9">
        <w:rPr>
          <w:b/>
          <w:bCs/>
        </w:rPr>
        <w:t>:</w:t>
      </w:r>
      <w:r>
        <w:t xml:space="preserve"> RAN2 to agree that if both Tx- and Rx-centric approach is agreed, the UE initiating a link setup should be allowed to make the first decision.</w:t>
      </w:r>
    </w:p>
    <w:p w14:paraId="29261813" w14:textId="77777777" w:rsidR="00274F5E" w:rsidRPr="000F5CD9" w:rsidRDefault="00274F5E" w:rsidP="00274F5E">
      <w:pPr>
        <w:rPr>
          <w:b/>
          <w:bCs/>
        </w:rPr>
      </w:pPr>
      <w:r w:rsidRPr="000F5CD9">
        <w:rPr>
          <w:b/>
          <w:bCs/>
        </w:rPr>
        <w:t xml:space="preserve">Observation </w:t>
      </w:r>
      <w:r>
        <w:rPr>
          <w:b/>
          <w:bCs/>
        </w:rPr>
        <w:t>6</w:t>
      </w:r>
      <w:r w:rsidRPr="000F5CD9">
        <w:rPr>
          <w:b/>
          <w:bCs/>
        </w:rPr>
        <w:t xml:space="preserve">: </w:t>
      </w:r>
      <w:r w:rsidRPr="00A05455">
        <w:t>Although the RAN2 decision is to have per direction DRX configuration, this does not mean that the configuration process should be split.</w:t>
      </w:r>
    </w:p>
    <w:p w14:paraId="6FEA0E3F" w14:textId="357659F5" w:rsidR="00DE54D0" w:rsidRDefault="00274F5E" w:rsidP="00274F5E">
      <w:r w:rsidRPr="000F5CD9">
        <w:rPr>
          <w:b/>
          <w:bCs/>
        </w:rPr>
        <w:t xml:space="preserve">Proposal </w:t>
      </w:r>
      <w:r>
        <w:rPr>
          <w:b/>
          <w:bCs/>
        </w:rPr>
        <w:t>4</w:t>
      </w:r>
      <w:r w:rsidRPr="000F5CD9">
        <w:rPr>
          <w:b/>
          <w:bCs/>
        </w:rPr>
        <w:t>:</w:t>
      </w:r>
      <w:r>
        <w:rPr>
          <w:b/>
          <w:bCs/>
        </w:rPr>
        <w:t xml:space="preserve"> </w:t>
      </w:r>
      <w:r w:rsidRPr="00A05455">
        <w:t>RAN2 to agree that the DRX configuration process may be combined as to save message overhead.</w:t>
      </w:r>
    </w:p>
    <w:p w14:paraId="08D75C2B" w14:textId="1DDEC8B4" w:rsidR="00A2622F" w:rsidRDefault="00A2622F" w:rsidP="00A2622F">
      <w:pPr>
        <w:pStyle w:val="Heading1"/>
      </w:pPr>
      <w:r w:rsidRPr="006E13D1">
        <w:t>4</w:t>
      </w:r>
      <w:r w:rsidRPr="006E13D1">
        <w:tab/>
      </w:r>
      <w:r>
        <w:t>References</w:t>
      </w:r>
    </w:p>
    <w:sdt>
      <w:sdtPr>
        <w:id w:val="884372729"/>
        <w:docPartObj>
          <w:docPartGallery w:val="Bibliographies"/>
          <w:docPartUnique/>
        </w:docPartObj>
      </w:sdtPr>
      <w:sdtEndPr/>
      <w:sdtContent>
        <w:sdt>
          <w:sdtPr>
            <w:id w:val="-573587230"/>
            <w:bibliography/>
          </w:sdtPr>
          <w:sdtEndPr/>
          <w:sdtContent>
            <w:p w14:paraId="2513725D" w14:textId="77777777" w:rsidR="009A5A5A" w:rsidRDefault="00A2622F">
              <w:pPr>
                <w:rPr>
                  <w:noProof/>
                  <w:lang w:eastAsia="en-GB"/>
                </w:rPr>
              </w:pPr>
              <w:r>
                <w:rPr>
                  <w:rFonts w:ascii="Arial" w:hAnsi="Arial"/>
                  <w:sz w:val="36"/>
                </w:rPr>
                <w:fldChar w:fldCharType="begin"/>
              </w:r>
              <w:r>
                <w:instrText xml:space="preserve"> BIBLIOGRAPHY </w:instrText>
              </w:r>
              <w:r>
                <w:rPr>
                  <w:rFonts w:ascii="Arial" w:hAnsi="Arial"/>
                  <w:sz w:val="36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32"/>
              </w:tblGrid>
              <w:tr w:rsidR="009A5A5A" w14:paraId="72F559BF" w14:textId="77777777">
                <w:trPr>
                  <w:divId w:val="12067913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EACF52C" w14:textId="6796F3CA" w:rsidR="009A5A5A" w:rsidRDefault="009A5A5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C46609E" w14:textId="77777777" w:rsidR="009A5A5A" w:rsidRDefault="009A5A5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OPPO, “[Post113-e][704][SL] TX UE centric or RX UE centric DRX configuration determination,” 2021.</w:t>
                    </w:r>
                  </w:p>
                </w:tc>
              </w:tr>
              <w:tr w:rsidR="009A5A5A" w14:paraId="6F444308" w14:textId="77777777">
                <w:trPr>
                  <w:divId w:val="12067913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980F81C" w14:textId="77777777" w:rsidR="009A5A5A" w:rsidRDefault="009A5A5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3BB3099" w14:textId="77777777" w:rsidR="009A5A5A" w:rsidRDefault="009A5A5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“R2-2101958 Sidelink enhancements chairmans notes”.</w:t>
                    </w:r>
                  </w:p>
                </w:tc>
              </w:tr>
            </w:tbl>
            <w:p w14:paraId="28CC8803" w14:textId="77777777" w:rsidR="009A5A5A" w:rsidRDefault="009A5A5A">
              <w:pPr>
                <w:divId w:val="1206791316"/>
                <w:rPr>
                  <w:noProof/>
                </w:rPr>
              </w:pPr>
            </w:p>
            <w:p w14:paraId="7309D8AD" w14:textId="5A5FD18B" w:rsidR="00A2622F" w:rsidRDefault="00A2622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06C65279" w14:textId="77777777" w:rsidR="00A2622F" w:rsidRPr="00A2622F" w:rsidRDefault="00A2622F" w:rsidP="00A2622F"/>
    <w:p w14:paraId="2D932A8F" w14:textId="77777777" w:rsidR="00A2622F" w:rsidRPr="006E13D1" w:rsidRDefault="00A2622F" w:rsidP="004F73A7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BF49B" w14:textId="77777777" w:rsidR="00115870" w:rsidRDefault="00115870">
      <w:r>
        <w:separator/>
      </w:r>
    </w:p>
  </w:endnote>
  <w:endnote w:type="continuationSeparator" w:id="0">
    <w:p w14:paraId="762162C6" w14:textId="77777777" w:rsidR="00115870" w:rsidRDefault="00115870">
      <w:r>
        <w:continuationSeparator/>
      </w:r>
    </w:p>
  </w:endnote>
  <w:endnote w:type="continuationNotice" w:id="1">
    <w:p w14:paraId="4F9F5B12" w14:textId="77777777" w:rsidR="00115870" w:rsidRDefault="00115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27D93" w14:textId="77777777" w:rsidR="00115870" w:rsidRDefault="00115870">
      <w:r>
        <w:separator/>
      </w:r>
    </w:p>
  </w:footnote>
  <w:footnote w:type="continuationSeparator" w:id="0">
    <w:p w14:paraId="6EC1A818" w14:textId="77777777" w:rsidR="00115870" w:rsidRDefault="00115870">
      <w:r>
        <w:continuationSeparator/>
      </w:r>
    </w:p>
  </w:footnote>
  <w:footnote w:type="continuationNotice" w:id="1">
    <w:p w14:paraId="2CAB9D31" w14:textId="77777777" w:rsidR="00115870" w:rsidRDefault="00115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56061B"/>
    <w:multiLevelType w:val="multilevel"/>
    <w:tmpl w:val="2956061B"/>
    <w:lvl w:ilvl="0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65A6"/>
    <w:rsid w:val="00060C89"/>
    <w:rsid w:val="00073C9C"/>
    <w:rsid w:val="00080512"/>
    <w:rsid w:val="00090468"/>
    <w:rsid w:val="00090C89"/>
    <w:rsid w:val="00094568"/>
    <w:rsid w:val="000B34DA"/>
    <w:rsid w:val="000B7BCF"/>
    <w:rsid w:val="000C522B"/>
    <w:rsid w:val="000D1BE7"/>
    <w:rsid w:val="000D58AB"/>
    <w:rsid w:val="000F02D4"/>
    <w:rsid w:val="000F52CF"/>
    <w:rsid w:val="000F5CD9"/>
    <w:rsid w:val="000F6595"/>
    <w:rsid w:val="00112F1A"/>
    <w:rsid w:val="00115870"/>
    <w:rsid w:val="00121224"/>
    <w:rsid w:val="00124903"/>
    <w:rsid w:val="00133D4B"/>
    <w:rsid w:val="00133E2E"/>
    <w:rsid w:val="00145075"/>
    <w:rsid w:val="00166B61"/>
    <w:rsid w:val="0017258E"/>
    <w:rsid w:val="001741A0"/>
    <w:rsid w:val="00175FA0"/>
    <w:rsid w:val="00184AF4"/>
    <w:rsid w:val="001948C1"/>
    <w:rsid w:val="00194CD0"/>
    <w:rsid w:val="001B213E"/>
    <w:rsid w:val="001B328E"/>
    <w:rsid w:val="001B49C9"/>
    <w:rsid w:val="001C23F4"/>
    <w:rsid w:val="001C4F79"/>
    <w:rsid w:val="001D29D8"/>
    <w:rsid w:val="001E0DC5"/>
    <w:rsid w:val="001E40BB"/>
    <w:rsid w:val="001E63A5"/>
    <w:rsid w:val="001F168B"/>
    <w:rsid w:val="001F7831"/>
    <w:rsid w:val="00204045"/>
    <w:rsid w:val="0020712B"/>
    <w:rsid w:val="0022606D"/>
    <w:rsid w:val="00231728"/>
    <w:rsid w:val="00244A05"/>
    <w:rsid w:val="00250404"/>
    <w:rsid w:val="00250C4D"/>
    <w:rsid w:val="002610D8"/>
    <w:rsid w:val="00265AD6"/>
    <w:rsid w:val="002677C5"/>
    <w:rsid w:val="002747EC"/>
    <w:rsid w:val="00274F5E"/>
    <w:rsid w:val="002855BF"/>
    <w:rsid w:val="00287352"/>
    <w:rsid w:val="00294919"/>
    <w:rsid w:val="002B149D"/>
    <w:rsid w:val="002D5130"/>
    <w:rsid w:val="002F0D22"/>
    <w:rsid w:val="002F4281"/>
    <w:rsid w:val="002F7466"/>
    <w:rsid w:val="003003B9"/>
    <w:rsid w:val="00311B17"/>
    <w:rsid w:val="003172DC"/>
    <w:rsid w:val="0032159E"/>
    <w:rsid w:val="0032410C"/>
    <w:rsid w:val="00325AE3"/>
    <w:rsid w:val="00326069"/>
    <w:rsid w:val="0035462D"/>
    <w:rsid w:val="00361F12"/>
    <w:rsid w:val="0036459E"/>
    <w:rsid w:val="00364B41"/>
    <w:rsid w:val="00373C30"/>
    <w:rsid w:val="00383096"/>
    <w:rsid w:val="003916D9"/>
    <w:rsid w:val="0039346C"/>
    <w:rsid w:val="003A41EF"/>
    <w:rsid w:val="003B40AD"/>
    <w:rsid w:val="003C4E37"/>
    <w:rsid w:val="003D3E79"/>
    <w:rsid w:val="003D4C08"/>
    <w:rsid w:val="003D77BE"/>
    <w:rsid w:val="003D7A46"/>
    <w:rsid w:val="003E16BE"/>
    <w:rsid w:val="003F3369"/>
    <w:rsid w:val="003F4E28"/>
    <w:rsid w:val="004006E8"/>
    <w:rsid w:val="00401855"/>
    <w:rsid w:val="00411FF5"/>
    <w:rsid w:val="00444221"/>
    <w:rsid w:val="0046239F"/>
    <w:rsid w:val="00465587"/>
    <w:rsid w:val="00477455"/>
    <w:rsid w:val="00485A44"/>
    <w:rsid w:val="004A02C0"/>
    <w:rsid w:val="004A1F7B"/>
    <w:rsid w:val="004A6CB7"/>
    <w:rsid w:val="004B75DF"/>
    <w:rsid w:val="004C44D2"/>
    <w:rsid w:val="004D1A78"/>
    <w:rsid w:val="004D3578"/>
    <w:rsid w:val="004D380D"/>
    <w:rsid w:val="004E213A"/>
    <w:rsid w:val="004F4540"/>
    <w:rsid w:val="004F73A7"/>
    <w:rsid w:val="00500585"/>
    <w:rsid w:val="00503171"/>
    <w:rsid w:val="00506C28"/>
    <w:rsid w:val="0051597C"/>
    <w:rsid w:val="0052735D"/>
    <w:rsid w:val="005335BA"/>
    <w:rsid w:val="00534416"/>
    <w:rsid w:val="00534DA0"/>
    <w:rsid w:val="00543E6C"/>
    <w:rsid w:val="00544392"/>
    <w:rsid w:val="00565087"/>
    <w:rsid w:val="0056573F"/>
    <w:rsid w:val="00571279"/>
    <w:rsid w:val="00576376"/>
    <w:rsid w:val="00583A7E"/>
    <w:rsid w:val="005A265B"/>
    <w:rsid w:val="005A49C6"/>
    <w:rsid w:val="005A73B4"/>
    <w:rsid w:val="005F0918"/>
    <w:rsid w:val="005F75F1"/>
    <w:rsid w:val="00610AEB"/>
    <w:rsid w:val="00611566"/>
    <w:rsid w:val="00646D99"/>
    <w:rsid w:val="00656910"/>
    <w:rsid w:val="006574C0"/>
    <w:rsid w:val="0066180A"/>
    <w:rsid w:val="006919BC"/>
    <w:rsid w:val="00696821"/>
    <w:rsid w:val="006A737D"/>
    <w:rsid w:val="006C66D8"/>
    <w:rsid w:val="006D0A3C"/>
    <w:rsid w:val="006D1E24"/>
    <w:rsid w:val="006D31CD"/>
    <w:rsid w:val="006D35DE"/>
    <w:rsid w:val="006E1057"/>
    <w:rsid w:val="006E1417"/>
    <w:rsid w:val="006F6A2C"/>
    <w:rsid w:val="007069DC"/>
    <w:rsid w:val="00710201"/>
    <w:rsid w:val="0072073A"/>
    <w:rsid w:val="007207A8"/>
    <w:rsid w:val="00726289"/>
    <w:rsid w:val="007342B5"/>
    <w:rsid w:val="00734A5B"/>
    <w:rsid w:val="007369A9"/>
    <w:rsid w:val="00744E76"/>
    <w:rsid w:val="00757D40"/>
    <w:rsid w:val="007662B5"/>
    <w:rsid w:val="00781F0F"/>
    <w:rsid w:val="0078727C"/>
    <w:rsid w:val="00787F78"/>
    <w:rsid w:val="0079049D"/>
    <w:rsid w:val="00790A18"/>
    <w:rsid w:val="00792842"/>
    <w:rsid w:val="00793DC5"/>
    <w:rsid w:val="007965F8"/>
    <w:rsid w:val="00796823"/>
    <w:rsid w:val="007A0C81"/>
    <w:rsid w:val="007A2023"/>
    <w:rsid w:val="007A2E55"/>
    <w:rsid w:val="007B18D8"/>
    <w:rsid w:val="007B3EE8"/>
    <w:rsid w:val="007B49D9"/>
    <w:rsid w:val="007C095F"/>
    <w:rsid w:val="007C16BC"/>
    <w:rsid w:val="007C2DD0"/>
    <w:rsid w:val="007D7D60"/>
    <w:rsid w:val="007F2E08"/>
    <w:rsid w:val="007F4FB4"/>
    <w:rsid w:val="007F5702"/>
    <w:rsid w:val="008028A4"/>
    <w:rsid w:val="00813245"/>
    <w:rsid w:val="0081509E"/>
    <w:rsid w:val="0082433D"/>
    <w:rsid w:val="00840DE0"/>
    <w:rsid w:val="00851415"/>
    <w:rsid w:val="008607A8"/>
    <w:rsid w:val="008622C2"/>
    <w:rsid w:val="0086354A"/>
    <w:rsid w:val="00864489"/>
    <w:rsid w:val="00870CDA"/>
    <w:rsid w:val="008768CA"/>
    <w:rsid w:val="00877EF9"/>
    <w:rsid w:val="00880559"/>
    <w:rsid w:val="008821F8"/>
    <w:rsid w:val="00882CA2"/>
    <w:rsid w:val="008A18C4"/>
    <w:rsid w:val="008A7836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17FA"/>
    <w:rsid w:val="00923655"/>
    <w:rsid w:val="00931795"/>
    <w:rsid w:val="009318FC"/>
    <w:rsid w:val="00936071"/>
    <w:rsid w:val="009376CD"/>
    <w:rsid w:val="00940212"/>
    <w:rsid w:val="00942EC2"/>
    <w:rsid w:val="00943275"/>
    <w:rsid w:val="0095199F"/>
    <w:rsid w:val="00957A2C"/>
    <w:rsid w:val="00961B32"/>
    <w:rsid w:val="00962509"/>
    <w:rsid w:val="009679A0"/>
    <w:rsid w:val="00970DB3"/>
    <w:rsid w:val="00974BB0"/>
    <w:rsid w:val="00975BCD"/>
    <w:rsid w:val="00992024"/>
    <w:rsid w:val="009928A9"/>
    <w:rsid w:val="00994444"/>
    <w:rsid w:val="009A06BA"/>
    <w:rsid w:val="009A0AF3"/>
    <w:rsid w:val="009A34EE"/>
    <w:rsid w:val="009A5A5A"/>
    <w:rsid w:val="009B07CD"/>
    <w:rsid w:val="009B2FDE"/>
    <w:rsid w:val="009C19E9"/>
    <w:rsid w:val="009C2B8E"/>
    <w:rsid w:val="009C5382"/>
    <w:rsid w:val="009D74A6"/>
    <w:rsid w:val="009E016E"/>
    <w:rsid w:val="009E0E87"/>
    <w:rsid w:val="009E3010"/>
    <w:rsid w:val="00A0212C"/>
    <w:rsid w:val="00A05455"/>
    <w:rsid w:val="00A10F02"/>
    <w:rsid w:val="00A204CA"/>
    <w:rsid w:val="00A209D6"/>
    <w:rsid w:val="00A22738"/>
    <w:rsid w:val="00A2622F"/>
    <w:rsid w:val="00A26D58"/>
    <w:rsid w:val="00A3152E"/>
    <w:rsid w:val="00A430EC"/>
    <w:rsid w:val="00A53724"/>
    <w:rsid w:val="00A54B2B"/>
    <w:rsid w:val="00A62B19"/>
    <w:rsid w:val="00A77618"/>
    <w:rsid w:val="00A82346"/>
    <w:rsid w:val="00A9652F"/>
    <w:rsid w:val="00A9671C"/>
    <w:rsid w:val="00AA1553"/>
    <w:rsid w:val="00AB0E74"/>
    <w:rsid w:val="00AB377F"/>
    <w:rsid w:val="00AE4D0F"/>
    <w:rsid w:val="00B05380"/>
    <w:rsid w:val="00B05962"/>
    <w:rsid w:val="00B078C3"/>
    <w:rsid w:val="00B10D3B"/>
    <w:rsid w:val="00B15449"/>
    <w:rsid w:val="00B16C2F"/>
    <w:rsid w:val="00B249E3"/>
    <w:rsid w:val="00B27303"/>
    <w:rsid w:val="00B36604"/>
    <w:rsid w:val="00B47FD1"/>
    <w:rsid w:val="00B516BB"/>
    <w:rsid w:val="00B51B12"/>
    <w:rsid w:val="00B53F04"/>
    <w:rsid w:val="00B740A3"/>
    <w:rsid w:val="00B7538C"/>
    <w:rsid w:val="00B84DB2"/>
    <w:rsid w:val="00B86977"/>
    <w:rsid w:val="00B86DB9"/>
    <w:rsid w:val="00BA3899"/>
    <w:rsid w:val="00BA47C3"/>
    <w:rsid w:val="00BB5D8F"/>
    <w:rsid w:val="00BC3555"/>
    <w:rsid w:val="00C12B51"/>
    <w:rsid w:val="00C206A9"/>
    <w:rsid w:val="00C24650"/>
    <w:rsid w:val="00C25465"/>
    <w:rsid w:val="00C33079"/>
    <w:rsid w:val="00C369F5"/>
    <w:rsid w:val="00C40595"/>
    <w:rsid w:val="00C55A12"/>
    <w:rsid w:val="00C5728C"/>
    <w:rsid w:val="00C63A49"/>
    <w:rsid w:val="00C6553E"/>
    <w:rsid w:val="00C66AAF"/>
    <w:rsid w:val="00C83A13"/>
    <w:rsid w:val="00C86F10"/>
    <w:rsid w:val="00C9068C"/>
    <w:rsid w:val="00C92967"/>
    <w:rsid w:val="00CA3D0C"/>
    <w:rsid w:val="00CA654B"/>
    <w:rsid w:val="00CA6875"/>
    <w:rsid w:val="00CB72B8"/>
    <w:rsid w:val="00CD0BA8"/>
    <w:rsid w:val="00CD4C7B"/>
    <w:rsid w:val="00CD58FE"/>
    <w:rsid w:val="00D33BE3"/>
    <w:rsid w:val="00D3792D"/>
    <w:rsid w:val="00D41192"/>
    <w:rsid w:val="00D42FFC"/>
    <w:rsid w:val="00D52B4C"/>
    <w:rsid w:val="00D55E47"/>
    <w:rsid w:val="00D62E19"/>
    <w:rsid w:val="00D67CD1"/>
    <w:rsid w:val="00D738D6"/>
    <w:rsid w:val="00D7708F"/>
    <w:rsid w:val="00D80795"/>
    <w:rsid w:val="00D83325"/>
    <w:rsid w:val="00D854BE"/>
    <w:rsid w:val="00D87E00"/>
    <w:rsid w:val="00D9134D"/>
    <w:rsid w:val="00D96D11"/>
    <w:rsid w:val="00DA60A3"/>
    <w:rsid w:val="00DA6CF4"/>
    <w:rsid w:val="00DA7A03"/>
    <w:rsid w:val="00DB0DB8"/>
    <w:rsid w:val="00DB1818"/>
    <w:rsid w:val="00DB4F61"/>
    <w:rsid w:val="00DC309B"/>
    <w:rsid w:val="00DC4DA2"/>
    <w:rsid w:val="00DC5261"/>
    <w:rsid w:val="00DE25D2"/>
    <w:rsid w:val="00DE54D0"/>
    <w:rsid w:val="00DF6E9D"/>
    <w:rsid w:val="00E41AB1"/>
    <w:rsid w:val="00E46C08"/>
    <w:rsid w:val="00E471CF"/>
    <w:rsid w:val="00E62835"/>
    <w:rsid w:val="00E63B03"/>
    <w:rsid w:val="00E672C6"/>
    <w:rsid w:val="00E71E71"/>
    <w:rsid w:val="00E744F4"/>
    <w:rsid w:val="00E77645"/>
    <w:rsid w:val="00E83697"/>
    <w:rsid w:val="00E859B6"/>
    <w:rsid w:val="00E97CE2"/>
    <w:rsid w:val="00EA66C9"/>
    <w:rsid w:val="00EA7478"/>
    <w:rsid w:val="00EB5F33"/>
    <w:rsid w:val="00EC4A25"/>
    <w:rsid w:val="00EC7320"/>
    <w:rsid w:val="00ED5B83"/>
    <w:rsid w:val="00EF612C"/>
    <w:rsid w:val="00F025A2"/>
    <w:rsid w:val="00F036E9"/>
    <w:rsid w:val="00F07388"/>
    <w:rsid w:val="00F1399D"/>
    <w:rsid w:val="00F15794"/>
    <w:rsid w:val="00F2026E"/>
    <w:rsid w:val="00F2210A"/>
    <w:rsid w:val="00F31372"/>
    <w:rsid w:val="00F37743"/>
    <w:rsid w:val="00F444A7"/>
    <w:rsid w:val="00F53D06"/>
    <w:rsid w:val="00F54A3D"/>
    <w:rsid w:val="00F54CB0"/>
    <w:rsid w:val="00F579CD"/>
    <w:rsid w:val="00F653B8"/>
    <w:rsid w:val="00F679EF"/>
    <w:rsid w:val="00F71B89"/>
    <w:rsid w:val="00F7353C"/>
    <w:rsid w:val="00F75778"/>
    <w:rsid w:val="00F76F8F"/>
    <w:rsid w:val="00F941DF"/>
    <w:rsid w:val="00FA1266"/>
    <w:rsid w:val="00FB36FA"/>
    <w:rsid w:val="00FC1192"/>
    <w:rsid w:val="00FD35E4"/>
    <w:rsid w:val="00FE106D"/>
    <w:rsid w:val="00FE251B"/>
    <w:rsid w:val="00FF3CFB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7D7D60"/>
    <w:rPr>
      <w:rFonts w:asciiTheme="minorHAnsi" w:eastAsiaTheme="minorEastAsia" w:hAnsiTheme="minorHAnsi" w:cstheme="minorBidi"/>
      <w:sz w:val="22"/>
      <w:szCs w:val="22"/>
      <w:lang w:val="da-DK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D7D60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da-DK" w:eastAsia="zh-CN"/>
    </w:rPr>
  </w:style>
  <w:style w:type="table" w:styleId="TableGrid">
    <w:name w:val="Table Grid"/>
    <w:basedOn w:val="TableNormal"/>
    <w:rsid w:val="003D7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8A18C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2622F"/>
    <w:rPr>
      <w:rFonts w:ascii="Arial" w:hAnsi="Arial"/>
      <w:sz w:val="3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A2622F"/>
  </w:style>
  <w:style w:type="character" w:styleId="CommentReference">
    <w:name w:val="annotation reference"/>
    <w:basedOn w:val="DefaultParagraphFont"/>
    <w:rsid w:val="008243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433D"/>
  </w:style>
  <w:style w:type="character" w:customStyle="1" w:styleId="CommentTextChar">
    <w:name w:val="Comment Text Char"/>
    <w:basedOn w:val="DefaultParagraphFont"/>
    <w:link w:val="CommentText"/>
    <w:rsid w:val="0082433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433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3-e/Inbox/R2-2101958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5AIRPNAIUNRU-859666464-8485</_dlc_DocId>
    <_dlc_DocIdUrl xmlns="71c5aaf6-e6ce-465b-b873-5148d2a4c105">
      <Url>https://nokia.sharepoint.com/sites/c5g/e2earch/_layouts/15/DocIdRedir.aspx?ID=5AIRPNAIUNRU-859666464-8485</Url>
      <Description>5AIRPNAIUNRU-859666464-8485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OPP21</b:Tag>
    <b:SourceType>Report</b:SourceType>
    <b:Guid>{C146D6CD-24E1-42C3-BFA9-A403E0B560A1}</b:Guid>
    <b:Author>
      <b:Author>
        <b:NameList>
          <b:Person>
            <b:Last>OPPO</b:Last>
          </b:Person>
        </b:NameList>
      </b:Author>
    </b:Author>
    <b:Title>[Post113-e][704][SL] TX UE centric or RX UE centric DRX configuration determination</b:Title>
    <b:Year>2021</b:Year>
    <b:RefOrder>1</b:RefOrder>
  </b:Source>
  <b:Source>
    <b:Tag>R22</b:Tag>
    <b:SourceType>Report</b:SourceType>
    <b:Guid>{5BC27BAA-C8D4-4599-B77F-6AFAD44C8544}</b:Guid>
    <b:Title>R2-2101958 Sidelink enhancements chairmans notes</b:Title>
    <b:RefOrder>2</b:RefOrder>
  </b:Source>
</b:Sourc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753C30-532B-41C6-A579-ED111151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4</Pages>
  <Words>1577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9948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255</cp:revision>
  <dcterms:created xsi:type="dcterms:W3CDTF">2016-08-12T03:53:00Z</dcterms:created>
  <dcterms:modified xsi:type="dcterms:W3CDTF">2021-04-01T16:01:00Z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bcb009c3-7ac0-4fd8-acb5-58599e1e7681</vt:lpwstr>
  </property>
</Properties>
</file>